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BD189" w14:textId="5E4EBBBC" w:rsidR="009118FC" w:rsidRPr="00A238F1" w:rsidRDefault="00115AEF" w:rsidP="009118FC">
      <w:pPr>
        <w:pStyle w:val="Title"/>
        <w:spacing w:line="300" w:lineRule="exact"/>
        <w:ind w:left="-709" w:right="-709"/>
        <w:contextualSpacing w:val="0"/>
        <w:jc w:val="center"/>
        <w:rPr>
          <w:sz w:val="32"/>
          <w:szCs w:val="32"/>
        </w:rPr>
      </w:pPr>
      <w:r w:rsidRPr="000C1D20">
        <w:rPr>
          <w:sz w:val="2"/>
          <w:szCs w:val="32"/>
        </w:rPr>
        <w:br/>
      </w:r>
      <w:bookmarkStart w:id="0" w:name="_Hlk56093685"/>
      <w:r w:rsidR="009118FC" w:rsidRPr="00A238F1">
        <w:rPr>
          <w:sz w:val="32"/>
          <w:szCs w:val="32"/>
        </w:rPr>
        <w:t xml:space="preserve">Australia’s Foreign Relations </w:t>
      </w:r>
      <w:r w:rsidR="009118FC">
        <w:rPr>
          <w:sz w:val="32"/>
          <w:szCs w:val="32"/>
        </w:rPr>
        <w:br/>
      </w:r>
      <w:r w:rsidR="009118FC" w:rsidRPr="00A238F1">
        <w:rPr>
          <w:sz w:val="32"/>
          <w:szCs w:val="32"/>
        </w:rPr>
        <w:t xml:space="preserve">(State and Territory Arrangements) </w:t>
      </w:r>
      <w:r w:rsidR="00E56E1C">
        <w:rPr>
          <w:sz w:val="32"/>
          <w:szCs w:val="32"/>
        </w:rPr>
        <w:t xml:space="preserve">Act </w:t>
      </w:r>
      <w:r w:rsidR="009118FC">
        <w:rPr>
          <w:sz w:val="32"/>
          <w:szCs w:val="32"/>
        </w:rPr>
        <w:t>2020</w:t>
      </w:r>
    </w:p>
    <w:p w14:paraId="08E26B03" w14:textId="1F429C9B" w:rsidR="009118FC" w:rsidRPr="00670721" w:rsidRDefault="00F2542C" w:rsidP="00670721">
      <w:pPr>
        <w:suppressAutoHyphens w:val="0"/>
        <w:spacing w:before="0" w:after="0" w:line="240" w:lineRule="auto"/>
        <w:jc w:val="center"/>
        <w:rPr>
          <w:rFonts w:ascii="Times New Roman" w:hAnsi="Times New Roman" w:cs="Times New Roman"/>
          <w:color w:val="auto"/>
          <w:sz w:val="24"/>
          <w:szCs w:val="24"/>
          <w:lang w:val="en-AU" w:eastAsia="en-AU"/>
        </w:rPr>
      </w:pPr>
      <w:r>
        <w:rPr>
          <w:sz w:val="32"/>
          <w:szCs w:val="32"/>
        </w:rPr>
        <w:t>ADDITIONAL FREQUENTLY ASKED QUESTIONS</w:t>
      </w:r>
      <w:r w:rsidR="00E56E1C">
        <w:rPr>
          <w:rStyle w:val="EndnoteReference"/>
          <w:sz w:val="32"/>
          <w:szCs w:val="32"/>
        </w:rPr>
        <w:endnoteReference w:id="1"/>
      </w:r>
      <w:r w:rsidR="00E56E1C">
        <w:rPr>
          <w:rFonts w:ascii="Times New Roman" w:hAnsi="Times New Roman" w:cs="Times New Roman"/>
          <w:color w:val="auto"/>
          <w:sz w:val="24"/>
          <w:szCs w:val="24"/>
          <w:lang w:val="en-AU" w:eastAsia="en-AU"/>
        </w:rPr>
        <w:t xml:space="preserve"> </w:t>
      </w:r>
    </w:p>
    <w:p w14:paraId="18BC9415" w14:textId="77777777" w:rsidR="00F2542C" w:rsidRPr="00F2542C" w:rsidRDefault="00F2542C" w:rsidP="00F2542C">
      <w:pPr>
        <w:pStyle w:val="BoxHeading"/>
        <w:spacing w:before="120" w:after="0"/>
        <w:rPr>
          <w:sz w:val="28"/>
          <w:szCs w:val="28"/>
        </w:rPr>
      </w:pPr>
      <w:r w:rsidRPr="00F2542C">
        <w:rPr>
          <w:sz w:val="28"/>
          <w:szCs w:val="28"/>
        </w:rPr>
        <w:t>Which arrangements are required to be notified by 10 June 2021?</w:t>
      </w:r>
    </w:p>
    <w:p w14:paraId="05B50F5D" w14:textId="77777777" w:rsidR="00F2542C" w:rsidRDefault="00F2542C" w:rsidP="00F2542C">
      <w:pPr>
        <w:spacing w:line="240" w:lineRule="auto"/>
      </w:pPr>
      <w:r>
        <w:t xml:space="preserve">The Scheme requires all pre-existing non-core arrangements to be notified by 10 June 2021. All arrangements required to be notified by universities or local governments are ‘non-core </w:t>
      </w:r>
      <w:proofErr w:type="gramStart"/>
      <w:r>
        <w:t>arrangements’</w:t>
      </w:r>
      <w:proofErr w:type="gramEnd"/>
      <w:r>
        <w:t xml:space="preserve">. An arrangement is notifiable if it meets the following criteria: </w:t>
      </w:r>
    </w:p>
    <w:p w14:paraId="0E1B0F12" w14:textId="77777777" w:rsidR="00F2542C" w:rsidRPr="00F2542C" w:rsidRDefault="00F2542C" w:rsidP="00F2542C">
      <w:pPr>
        <w:pStyle w:val="ListParagraph"/>
        <w:numPr>
          <w:ilvl w:val="4"/>
          <w:numId w:val="18"/>
        </w:numPr>
        <w:spacing w:after="0" w:line="240" w:lineRule="auto"/>
        <w:ind w:left="709"/>
        <w:contextualSpacing w:val="0"/>
        <w:rPr>
          <w:color w:val="36424B" w:themeColor="text2" w:themeShade="BF"/>
        </w:rPr>
      </w:pPr>
      <w:r w:rsidRPr="00F2542C">
        <w:rPr>
          <w:color w:val="36424B" w:themeColor="text2" w:themeShade="BF"/>
          <w:lang w:val="en-GB"/>
        </w:rPr>
        <w:t>It is an arrangement as defined by the Act, including an agreement, contract, undertaking, or understanding</w:t>
      </w:r>
      <w:r w:rsidRPr="00F2542C">
        <w:rPr>
          <w:color w:val="36424B" w:themeColor="text2" w:themeShade="BF"/>
        </w:rPr>
        <w:t>.</w:t>
      </w:r>
    </w:p>
    <w:p w14:paraId="3F1DE66D" w14:textId="77777777" w:rsidR="00F2542C" w:rsidRPr="00F2542C" w:rsidRDefault="00F2542C" w:rsidP="00F2542C">
      <w:pPr>
        <w:pStyle w:val="ListParagraph"/>
        <w:numPr>
          <w:ilvl w:val="4"/>
          <w:numId w:val="18"/>
        </w:numPr>
        <w:spacing w:after="0" w:line="240" w:lineRule="auto"/>
        <w:ind w:left="709"/>
        <w:contextualSpacing w:val="0"/>
        <w:rPr>
          <w:color w:val="36424B" w:themeColor="text2" w:themeShade="BF"/>
        </w:rPr>
      </w:pPr>
      <w:r w:rsidRPr="00F2542C">
        <w:rPr>
          <w:color w:val="36424B" w:themeColor="text2" w:themeShade="BF"/>
        </w:rPr>
        <w:t xml:space="preserve">The arrangement is in </w:t>
      </w:r>
      <w:r w:rsidRPr="00F2542C">
        <w:rPr>
          <w:b/>
          <w:bCs/>
          <w:color w:val="36424B" w:themeColor="text2" w:themeShade="BF"/>
        </w:rPr>
        <w:t>writing</w:t>
      </w:r>
      <w:r w:rsidRPr="00F2542C">
        <w:rPr>
          <w:color w:val="36424B" w:themeColor="text2" w:themeShade="BF"/>
        </w:rPr>
        <w:t>.</w:t>
      </w:r>
    </w:p>
    <w:p w14:paraId="791DC8F9" w14:textId="77777777" w:rsidR="00F2542C" w:rsidRPr="00F2542C" w:rsidRDefault="00F2542C" w:rsidP="00F2542C">
      <w:pPr>
        <w:pStyle w:val="ListParagraph"/>
        <w:numPr>
          <w:ilvl w:val="4"/>
          <w:numId w:val="18"/>
        </w:numPr>
        <w:spacing w:after="0" w:line="240" w:lineRule="auto"/>
        <w:ind w:left="709"/>
        <w:contextualSpacing w:val="0"/>
        <w:rPr>
          <w:color w:val="36424B" w:themeColor="text2" w:themeShade="BF"/>
        </w:rPr>
      </w:pPr>
      <w:r w:rsidRPr="00F2542C">
        <w:rPr>
          <w:color w:val="36424B" w:themeColor="text2" w:themeShade="BF"/>
        </w:rPr>
        <w:t xml:space="preserve">The arrangement was in operation on or after 10 December 2020. If the arrangement was in operation between </w:t>
      </w:r>
      <w:r w:rsidRPr="00F2542C">
        <w:rPr>
          <w:b/>
          <w:bCs/>
          <w:color w:val="36424B" w:themeColor="text2" w:themeShade="BF"/>
        </w:rPr>
        <w:t>10 December 2020 and 9 March 2021</w:t>
      </w:r>
      <w:r w:rsidRPr="00F2542C">
        <w:rPr>
          <w:color w:val="36424B" w:themeColor="text2" w:themeShade="BF"/>
        </w:rPr>
        <w:t xml:space="preserve">, it is a pre-existing arrangement, </w:t>
      </w:r>
      <w:r w:rsidRPr="00F2542C">
        <w:rPr>
          <w:color w:val="36424B" w:themeColor="text2" w:themeShade="BF"/>
          <w:u w:val="single"/>
        </w:rPr>
        <w:t>even if it subsequently expired or was terminated</w:t>
      </w:r>
      <w:r w:rsidRPr="00F2542C">
        <w:rPr>
          <w:color w:val="36424B" w:themeColor="text2" w:themeShade="BF"/>
        </w:rPr>
        <w:t>. If the arrangement took effect on or after 10 March 2021, it is a prospective arrangement and should be notified accordingly.</w:t>
      </w:r>
    </w:p>
    <w:p w14:paraId="06B3EF72" w14:textId="77777777" w:rsidR="00F2542C" w:rsidRPr="00F2542C" w:rsidRDefault="00F2542C" w:rsidP="00F2542C">
      <w:pPr>
        <w:pStyle w:val="ListParagraph"/>
        <w:numPr>
          <w:ilvl w:val="4"/>
          <w:numId w:val="18"/>
        </w:numPr>
        <w:spacing w:after="0" w:line="240" w:lineRule="auto"/>
        <w:ind w:left="709"/>
        <w:contextualSpacing w:val="0"/>
        <w:rPr>
          <w:color w:val="36424B" w:themeColor="text2" w:themeShade="BF"/>
        </w:rPr>
      </w:pPr>
      <w:r w:rsidRPr="00F2542C">
        <w:rPr>
          <w:color w:val="36424B" w:themeColor="text2" w:themeShade="BF"/>
        </w:rPr>
        <w:t>The arrangement is between a State/Territory entity, and a foreign entity under section 8 of the Act, regardless of any other parties to the arrangement. The Scheme does not apply to arrangements entered into by State/Territory entity employees acting in their own right and not on behalf of their employer.</w:t>
      </w:r>
    </w:p>
    <w:p w14:paraId="3FF5ACF9" w14:textId="77777777" w:rsidR="00F2542C" w:rsidRPr="00F2542C" w:rsidRDefault="00F2542C" w:rsidP="00F2542C">
      <w:pPr>
        <w:pStyle w:val="ListParagraph"/>
        <w:numPr>
          <w:ilvl w:val="5"/>
          <w:numId w:val="18"/>
        </w:numPr>
        <w:spacing w:after="0" w:line="240" w:lineRule="auto"/>
        <w:ind w:left="1276"/>
        <w:contextualSpacing w:val="0"/>
        <w:rPr>
          <w:color w:val="36424B" w:themeColor="text2" w:themeShade="BF"/>
        </w:rPr>
      </w:pPr>
      <w:r w:rsidRPr="00F2542C">
        <w:rPr>
          <w:color w:val="36424B" w:themeColor="text2" w:themeShade="BF"/>
        </w:rPr>
        <w:t>For example, whether an arrangement by a university employee binds or otherwise commits the university is primarily a question of fact, which will likely depend on factors such as:</w:t>
      </w:r>
    </w:p>
    <w:p w14:paraId="4EF9AE03" w14:textId="77777777" w:rsidR="00F2542C" w:rsidRPr="00F2542C" w:rsidRDefault="00F2542C" w:rsidP="00F2542C">
      <w:pPr>
        <w:pStyle w:val="ListParagraph"/>
        <w:numPr>
          <w:ilvl w:val="0"/>
          <w:numId w:val="19"/>
        </w:numPr>
        <w:spacing w:after="0" w:line="240" w:lineRule="auto"/>
        <w:contextualSpacing w:val="0"/>
        <w:rPr>
          <w:color w:val="36424B" w:themeColor="text2" w:themeShade="BF"/>
        </w:rPr>
      </w:pPr>
      <w:r w:rsidRPr="00F2542C">
        <w:rPr>
          <w:color w:val="36424B" w:themeColor="text2" w:themeShade="BF"/>
        </w:rPr>
        <w:t xml:space="preserve">the way a university is </w:t>
      </w:r>
      <w:proofErr w:type="gramStart"/>
      <w:r w:rsidRPr="00F2542C">
        <w:rPr>
          <w:color w:val="36424B" w:themeColor="text2" w:themeShade="BF"/>
        </w:rPr>
        <w:t>constituted;</w:t>
      </w:r>
      <w:proofErr w:type="gramEnd"/>
      <w:r w:rsidRPr="00F2542C">
        <w:rPr>
          <w:color w:val="36424B" w:themeColor="text2" w:themeShade="BF"/>
        </w:rPr>
        <w:t xml:space="preserve"> </w:t>
      </w:r>
    </w:p>
    <w:p w14:paraId="5B9595F6" w14:textId="77777777" w:rsidR="00F2542C" w:rsidRPr="00F2542C" w:rsidRDefault="00F2542C" w:rsidP="00F2542C">
      <w:pPr>
        <w:pStyle w:val="ListParagraph"/>
        <w:numPr>
          <w:ilvl w:val="0"/>
          <w:numId w:val="19"/>
        </w:numPr>
        <w:spacing w:after="0" w:line="240" w:lineRule="auto"/>
        <w:contextualSpacing w:val="0"/>
        <w:rPr>
          <w:color w:val="36424B" w:themeColor="text2" w:themeShade="BF"/>
        </w:rPr>
      </w:pPr>
      <w:r w:rsidRPr="00F2542C">
        <w:rPr>
          <w:color w:val="36424B" w:themeColor="text2" w:themeShade="BF"/>
        </w:rPr>
        <w:t xml:space="preserve">governance arrangements in individual </w:t>
      </w:r>
      <w:proofErr w:type="gramStart"/>
      <w:r w:rsidRPr="00F2542C">
        <w:rPr>
          <w:color w:val="36424B" w:themeColor="text2" w:themeShade="BF"/>
        </w:rPr>
        <w:t>universities;</w:t>
      </w:r>
      <w:proofErr w:type="gramEnd"/>
      <w:r w:rsidRPr="00F2542C">
        <w:rPr>
          <w:color w:val="36424B" w:themeColor="text2" w:themeShade="BF"/>
        </w:rPr>
        <w:t xml:space="preserve"> </w:t>
      </w:r>
    </w:p>
    <w:p w14:paraId="14A6D549" w14:textId="77777777" w:rsidR="00F2542C" w:rsidRPr="00F2542C" w:rsidRDefault="00F2542C" w:rsidP="00F2542C">
      <w:pPr>
        <w:pStyle w:val="ListParagraph"/>
        <w:numPr>
          <w:ilvl w:val="0"/>
          <w:numId w:val="19"/>
        </w:numPr>
        <w:spacing w:after="0" w:line="240" w:lineRule="auto"/>
        <w:contextualSpacing w:val="0"/>
        <w:rPr>
          <w:color w:val="36424B" w:themeColor="text2" w:themeShade="BF"/>
        </w:rPr>
      </w:pPr>
      <w:r w:rsidRPr="00F2542C">
        <w:rPr>
          <w:color w:val="36424B" w:themeColor="text2" w:themeShade="BF"/>
        </w:rPr>
        <w:t xml:space="preserve">the position and authority of the individual </w:t>
      </w:r>
      <w:proofErr w:type="gramStart"/>
      <w:r w:rsidRPr="00F2542C">
        <w:rPr>
          <w:color w:val="36424B" w:themeColor="text2" w:themeShade="BF"/>
        </w:rPr>
        <w:t>concerned;</w:t>
      </w:r>
      <w:proofErr w:type="gramEnd"/>
      <w:r w:rsidRPr="00F2542C">
        <w:rPr>
          <w:color w:val="36424B" w:themeColor="text2" w:themeShade="BF"/>
        </w:rPr>
        <w:t xml:space="preserve"> </w:t>
      </w:r>
    </w:p>
    <w:p w14:paraId="5F511FF8" w14:textId="77777777" w:rsidR="00F2542C" w:rsidRPr="00F2542C" w:rsidRDefault="00F2542C" w:rsidP="00F2542C">
      <w:pPr>
        <w:pStyle w:val="ListParagraph"/>
        <w:numPr>
          <w:ilvl w:val="0"/>
          <w:numId w:val="19"/>
        </w:numPr>
        <w:spacing w:after="0" w:line="240" w:lineRule="auto"/>
        <w:contextualSpacing w:val="0"/>
        <w:rPr>
          <w:color w:val="36424B" w:themeColor="text2" w:themeShade="BF"/>
        </w:rPr>
      </w:pPr>
      <w:r w:rsidRPr="00F2542C">
        <w:rPr>
          <w:color w:val="36424B" w:themeColor="text2" w:themeShade="BF"/>
        </w:rPr>
        <w:t xml:space="preserve">the extent to which a person holds relevant delegations and </w:t>
      </w:r>
      <w:proofErr w:type="gramStart"/>
      <w:r w:rsidRPr="00F2542C">
        <w:rPr>
          <w:color w:val="36424B" w:themeColor="text2" w:themeShade="BF"/>
        </w:rPr>
        <w:t>responsibilities;</w:t>
      </w:r>
      <w:proofErr w:type="gramEnd"/>
      <w:r w:rsidRPr="00F2542C">
        <w:rPr>
          <w:color w:val="36424B" w:themeColor="text2" w:themeShade="BF"/>
        </w:rPr>
        <w:t xml:space="preserve"> </w:t>
      </w:r>
    </w:p>
    <w:p w14:paraId="46444DC0" w14:textId="77777777" w:rsidR="00F2542C" w:rsidRPr="00F2542C" w:rsidRDefault="00F2542C" w:rsidP="00F2542C">
      <w:pPr>
        <w:pStyle w:val="ListParagraph"/>
        <w:numPr>
          <w:ilvl w:val="0"/>
          <w:numId w:val="19"/>
        </w:numPr>
        <w:spacing w:after="0" w:line="240" w:lineRule="auto"/>
        <w:contextualSpacing w:val="0"/>
        <w:rPr>
          <w:color w:val="36424B" w:themeColor="text2" w:themeShade="BF"/>
        </w:rPr>
      </w:pPr>
      <w:r w:rsidRPr="00F2542C">
        <w:rPr>
          <w:color w:val="36424B" w:themeColor="text2" w:themeShade="BF"/>
        </w:rPr>
        <w:t xml:space="preserve">and whether the university has endorsed or given effect to the arrangement. </w:t>
      </w:r>
    </w:p>
    <w:p w14:paraId="4567A4BA" w14:textId="77777777" w:rsidR="00F2542C" w:rsidRPr="00F2542C" w:rsidRDefault="00F2542C" w:rsidP="00F2542C">
      <w:pPr>
        <w:pStyle w:val="ListParagraph"/>
        <w:numPr>
          <w:ilvl w:val="5"/>
          <w:numId w:val="18"/>
        </w:numPr>
        <w:spacing w:after="0" w:line="240" w:lineRule="auto"/>
        <w:ind w:left="1276"/>
        <w:contextualSpacing w:val="0"/>
        <w:rPr>
          <w:color w:val="36424B" w:themeColor="text2" w:themeShade="BF"/>
        </w:rPr>
      </w:pPr>
      <w:r w:rsidRPr="00F2542C">
        <w:rPr>
          <w:color w:val="36424B" w:themeColor="text2" w:themeShade="BF"/>
        </w:rPr>
        <w:t>The Foreign Arrangements Taskforce is not aware of the specific arrangements each university applies and we are therefore unable to advise whether individual arrangements bind or commit those universities. This is something we would anticipate universities would consider in the context of their internal governance, separate from the requirements of the Scheme. We understand some universities have elected to use their policy on outside employment to guide judgements as to whether an arrangement is entered by the university or by an individual acting in their own right, for example.</w:t>
      </w:r>
    </w:p>
    <w:p w14:paraId="34275594" w14:textId="77777777" w:rsidR="00F2542C" w:rsidRPr="00F2542C" w:rsidRDefault="00F2542C" w:rsidP="00F2542C">
      <w:pPr>
        <w:pStyle w:val="ListParagraph"/>
        <w:numPr>
          <w:ilvl w:val="5"/>
          <w:numId w:val="18"/>
        </w:numPr>
        <w:spacing w:after="0" w:line="240" w:lineRule="auto"/>
        <w:ind w:left="1276"/>
        <w:contextualSpacing w:val="0"/>
        <w:rPr>
          <w:color w:val="36424B" w:themeColor="text2" w:themeShade="BF"/>
        </w:rPr>
      </w:pPr>
      <w:r w:rsidRPr="00F2542C">
        <w:rPr>
          <w:color w:val="36424B" w:themeColor="text2" w:themeShade="BF"/>
        </w:rPr>
        <w:t xml:space="preserve">If a State/Territory entity notifies an arrangement, we will </w:t>
      </w:r>
      <w:r w:rsidRPr="00F2542C">
        <w:rPr>
          <w:color w:val="36424B" w:themeColor="text2" w:themeShade="BF"/>
          <w:u w:val="single"/>
        </w:rPr>
        <w:t xml:space="preserve">assume they have made a </w:t>
      </w:r>
      <w:r w:rsidRPr="00F2542C">
        <w:rPr>
          <w:color w:val="36424B" w:themeColor="text2" w:themeShade="BF"/>
        </w:rPr>
        <w:t xml:space="preserve">decision that the arrangement is one entered by or on behalf of that </w:t>
      </w:r>
      <w:proofErr w:type="gramStart"/>
      <w:r w:rsidRPr="00F2542C">
        <w:rPr>
          <w:color w:val="36424B" w:themeColor="text2" w:themeShade="BF"/>
        </w:rPr>
        <w:t>entity, and</w:t>
      </w:r>
      <w:proofErr w:type="gramEnd"/>
      <w:r w:rsidRPr="00F2542C">
        <w:rPr>
          <w:color w:val="36424B" w:themeColor="text2" w:themeShade="BF"/>
        </w:rPr>
        <w:t xml:space="preserve"> will treat it accordingly.</w:t>
      </w:r>
      <w:r w:rsidRPr="00F2542C">
        <w:rPr>
          <w:color w:val="36424B" w:themeColor="text2" w:themeShade="BF"/>
        </w:rPr>
        <w:br/>
      </w:r>
    </w:p>
    <w:p w14:paraId="640AD8B8" w14:textId="77777777" w:rsidR="00F2542C" w:rsidRPr="00F2542C" w:rsidRDefault="00F2542C" w:rsidP="00F2542C">
      <w:pPr>
        <w:spacing w:line="240" w:lineRule="auto"/>
        <w:rPr>
          <w:color w:val="36424B" w:themeColor="text2" w:themeShade="BF"/>
        </w:rPr>
      </w:pPr>
      <w:r w:rsidRPr="00F2542C">
        <w:rPr>
          <w:color w:val="36424B" w:themeColor="text2" w:themeShade="BF"/>
        </w:rPr>
        <w:t>We recommend that State/Territory entities notify any arrangements they are uncertain about, and these will be screened for questions of scope in due course.</w:t>
      </w:r>
    </w:p>
    <w:p w14:paraId="32803367" w14:textId="7B40C3D1" w:rsidR="00F2542C" w:rsidRPr="001C5E7D" w:rsidRDefault="00F2542C" w:rsidP="009118FC">
      <w:pPr>
        <w:pStyle w:val="BoxHeading"/>
        <w:spacing w:before="120" w:after="0"/>
        <w:rPr>
          <w:sz w:val="28"/>
          <w:szCs w:val="28"/>
        </w:rPr>
      </w:pPr>
      <w:r w:rsidRPr="00F2542C">
        <w:rPr>
          <w:sz w:val="28"/>
          <w:szCs w:val="28"/>
        </w:rPr>
        <w:lastRenderedPageBreak/>
        <w:t>What is a subsidiary arrangement and how do I notify a subsidiary arrangement on the Portal?</w:t>
      </w:r>
    </w:p>
    <w:p w14:paraId="277FB2C6" w14:textId="77777777" w:rsidR="00F2542C" w:rsidRDefault="00F2542C" w:rsidP="00F2542C">
      <w:pPr>
        <w:keepNext/>
        <w:spacing w:line="240" w:lineRule="auto"/>
      </w:pPr>
      <w:r>
        <w:t>Arrangements subordinate to a head foreign arrangement must meet two criteria to be considered a subsidiary arrangement. They must be:</w:t>
      </w:r>
    </w:p>
    <w:p w14:paraId="72DAB846" w14:textId="77777777" w:rsidR="00F2542C" w:rsidRPr="00F2542C" w:rsidRDefault="00F2542C" w:rsidP="00F2542C">
      <w:pPr>
        <w:pStyle w:val="ListParagraph"/>
        <w:keepNext/>
        <w:numPr>
          <w:ilvl w:val="0"/>
          <w:numId w:val="20"/>
        </w:numPr>
        <w:spacing w:after="0" w:line="240" w:lineRule="auto"/>
        <w:ind w:left="709"/>
        <w:contextualSpacing w:val="0"/>
        <w:rPr>
          <w:color w:val="36424B" w:themeColor="text2" w:themeShade="BF"/>
        </w:rPr>
      </w:pPr>
      <w:r w:rsidRPr="00F2542C">
        <w:rPr>
          <w:color w:val="36424B" w:themeColor="text2" w:themeShade="BF"/>
        </w:rPr>
        <w:t>Entered under the auspices of a head foreign arrangement</w:t>
      </w:r>
    </w:p>
    <w:p w14:paraId="5DA0716C" w14:textId="2390535C" w:rsidR="00F2542C" w:rsidRPr="00F2542C" w:rsidRDefault="00F2542C" w:rsidP="00F2542C">
      <w:pPr>
        <w:pStyle w:val="ListParagraph"/>
        <w:keepNext/>
        <w:numPr>
          <w:ilvl w:val="0"/>
          <w:numId w:val="20"/>
        </w:numPr>
        <w:spacing w:after="0" w:line="240" w:lineRule="auto"/>
        <w:ind w:left="709"/>
        <w:contextualSpacing w:val="0"/>
        <w:rPr>
          <w:color w:val="36424B" w:themeColor="text2" w:themeShade="BF"/>
        </w:rPr>
      </w:pPr>
      <w:r w:rsidRPr="00F2542C">
        <w:rPr>
          <w:color w:val="36424B" w:themeColor="text2" w:themeShade="BF"/>
        </w:rPr>
        <w:t>They must not themselves be a foreign arrangement.</w:t>
      </w:r>
    </w:p>
    <w:p w14:paraId="6F2C2AAD" w14:textId="77777777" w:rsidR="00F2542C" w:rsidRPr="00F2542C" w:rsidRDefault="00F2542C" w:rsidP="00F2542C">
      <w:pPr>
        <w:pStyle w:val="ListParagraph"/>
        <w:keepNext/>
        <w:numPr>
          <w:ilvl w:val="0"/>
          <w:numId w:val="21"/>
        </w:numPr>
        <w:spacing w:after="0" w:line="240" w:lineRule="auto"/>
        <w:ind w:left="1276"/>
        <w:contextualSpacing w:val="0"/>
        <w:rPr>
          <w:color w:val="36424B" w:themeColor="text2" w:themeShade="BF"/>
        </w:rPr>
      </w:pPr>
      <w:r w:rsidRPr="00F2542C">
        <w:rPr>
          <w:color w:val="36424B" w:themeColor="text2" w:themeShade="BF"/>
        </w:rPr>
        <w:t xml:space="preserve">This depends on the </w:t>
      </w:r>
      <w:r w:rsidRPr="00F2542C">
        <w:rPr>
          <w:b/>
          <w:bCs/>
          <w:color w:val="36424B" w:themeColor="text2" w:themeShade="BF"/>
        </w:rPr>
        <w:t>type of parties</w:t>
      </w:r>
      <w:r w:rsidRPr="00F2542C">
        <w:rPr>
          <w:color w:val="36424B" w:themeColor="text2" w:themeShade="BF"/>
        </w:rPr>
        <w:t xml:space="preserve"> to the arrangement – such an arrangement will still be a foreign arrangement in its own right if the parties include a State/Territory entity </w:t>
      </w:r>
      <w:r w:rsidRPr="00F2542C">
        <w:rPr>
          <w:b/>
          <w:bCs/>
          <w:color w:val="36424B" w:themeColor="text2" w:themeShade="BF"/>
        </w:rPr>
        <w:t>and</w:t>
      </w:r>
      <w:r w:rsidRPr="00F2542C">
        <w:rPr>
          <w:color w:val="36424B" w:themeColor="text2" w:themeShade="BF"/>
        </w:rPr>
        <w:t xml:space="preserve"> a foreign entity. </w:t>
      </w:r>
    </w:p>
    <w:p w14:paraId="0C6E2503" w14:textId="77777777" w:rsidR="00F2542C" w:rsidRPr="00F2542C" w:rsidRDefault="00F2542C" w:rsidP="00F2542C">
      <w:pPr>
        <w:pStyle w:val="ListParagraph"/>
        <w:keepNext/>
        <w:numPr>
          <w:ilvl w:val="0"/>
          <w:numId w:val="21"/>
        </w:numPr>
        <w:spacing w:after="0" w:line="240" w:lineRule="auto"/>
        <w:ind w:left="1276"/>
        <w:contextualSpacing w:val="0"/>
        <w:rPr>
          <w:color w:val="36424B" w:themeColor="text2" w:themeShade="BF"/>
        </w:rPr>
      </w:pPr>
      <w:r w:rsidRPr="00F2542C">
        <w:rPr>
          <w:color w:val="36424B" w:themeColor="text2" w:themeShade="BF"/>
        </w:rPr>
        <w:t xml:space="preserve">A subsidiary arrangement therefore does not require both a foreign and an Australian entity to be parties to the arrangement. </w:t>
      </w:r>
    </w:p>
    <w:p w14:paraId="13EE899B" w14:textId="35821964" w:rsidR="00F2542C" w:rsidRDefault="00F2542C" w:rsidP="00F2542C">
      <w:pPr>
        <w:spacing w:line="240" w:lineRule="auto"/>
      </w:pPr>
      <w:r>
        <w:t xml:space="preserve">Subsidiary arrangements need to be notified separately to head foreign arrangements through the Online Portal. One of the questions asked of users submitting a notification on the Online Portal is whether the arrangement is a subsidiary arrangement. Answering this question will prompt the user to include the reference number for the head arrangement. </w:t>
      </w:r>
    </w:p>
    <w:p w14:paraId="5B14E000" w14:textId="77777777" w:rsidR="00F2542C" w:rsidRDefault="00F2542C" w:rsidP="00F2542C">
      <w:pPr>
        <w:spacing w:line="240" w:lineRule="auto"/>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EEE0" w:themeFill="accent5" w:themeFillTint="33"/>
        <w:tblLook w:val="0000" w:firstRow="0" w:lastRow="0" w:firstColumn="0" w:lastColumn="0" w:noHBand="0" w:noVBand="0"/>
      </w:tblPr>
      <w:tblGrid>
        <w:gridCol w:w="9680"/>
      </w:tblGrid>
      <w:tr w:rsidR="00F2542C" w14:paraId="6DB088EF" w14:textId="77777777" w:rsidTr="00F2542C">
        <w:trPr>
          <w:trHeight w:val="7335"/>
        </w:trPr>
        <w:tc>
          <w:tcPr>
            <w:tcW w:w="9680" w:type="dxa"/>
            <w:shd w:val="clear" w:color="auto" w:fill="D5EEE0" w:themeFill="accent5" w:themeFillTint="33"/>
          </w:tcPr>
          <w:p w14:paraId="46359EE3" w14:textId="77777777" w:rsidR="00F2542C" w:rsidRPr="00EB1AB0" w:rsidRDefault="00F2542C" w:rsidP="00A13A71">
            <w:pPr>
              <w:keepNext/>
              <w:keepLines/>
              <w:spacing w:line="240" w:lineRule="auto"/>
              <w:rPr>
                <w:i/>
                <w:iCs/>
              </w:rPr>
            </w:pPr>
            <w:r>
              <w:rPr>
                <w:i/>
                <w:iCs/>
              </w:rPr>
              <w:t>Note: Technical issue encountered by some users when entering subsidiary arrangements</w:t>
            </w:r>
          </w:p>
          <w:p w14:paraId="121D3F36" w14:textId="77777777" w:rsidR="00F2542C" w:rsidRPr="00F2542C" w:rsidRDefault="00F2542C" w:rsidP="00A13A71">
            <w:pPr>
              <w:keepNext/>
              <w:spacing w:line="240" w:lineRule="auto"/>
              <w:ind w:left="284"/>
              <w:rPr>
                <w:color w:val="36424B" w:themeColor="text2" w:themeShade="BF"/>
              </w:rPr>
            </w:pPr>
            <w:r>
              <w:t xml:space="preserve">We are aware of a technical issue encountered by some users that prohibits entering subsidiary arrangements where they only include Australian parties or only include foreign parties. We are investigating endeavouring to rectify issue as soon as possible. In the interim, where a subsidiary </w:t>
            </w:r>
            <w:r w:rsidRPr="00F2542C">
              <w:rPr>
                <w:color w:val="36424B" w:themeColor="text2" w:themeShade="BF"/>
              </w:rPr>
              <w:t>arrangement cannot be notified separately (</w:t>
            </w:r>
            <w:proofErr w:type="spellStart"/>
            <w:r w:rsidRPr="00F2542C">
              <w:rPr>
                <w:color w:val="36424B" w:themeColor="text2" w:themeShade="BF"/>
              </w:rPr>
              <w:t>ie</w:t>
            </w:r>
            <w:proofErr w:type="spellEnd"/>
            <w:r w:rsidRPr="00F2542C">
              <w:rPr>
                <w:color w:val="36424B" w:themeColor="text2" w:themeShade="BF"/>
              </w:rPr>
              <w:t>. It has only Australian or only foreign parties) please undertake the following process:</w:t>
            </w:r>
          </w:p>
          <w:p w14:paraId="070EBECE" w14:textId="77777777" w:rsidR="00F2542C" w:rsidRPr="00F2542C" w:rsidRDefault="00F2542C" w:rsidP="00F2542C">
            <w:pPr>
              <w:pStyle w:val="ListParagraph"/>
              <w:keepNext/>
              <w:numPr>
                <w:ilvl w:val="0"/>
                <w:numId w:val="22"/>
              </w:numPr>
              <w:spacing w:after="0" w:line="240" w:lineRule="auto"/>
              <w:ind w:left="709"/>
              <w:contextualSpacing w:val="0"/>
              <w:rPr>
                <w:color w:val="36424B" w:themeColor="text2" w:themeShade="BF"/>
              </w:rPr>
            </w:pPr>
            <w:r w:rsidRPr="00F2542C">
              <w:rPr>
                <w:color w:val="36424B" w:themeColor="text2" w:themeShade="BF"/>
              </w:rPr>
              <w:t xml:space="preserve">When creating the notification of the head arrangement, you will be asked if there are any subsidiary arrangements in effect, and how many. Please include all subsidiary arrangements, including those that are unable to be notified, in this count. </w:t>
            </w:r>
          </w:p>
          <w:p w14:paraId="5BBAA38D" w14:textId="77777777" w:rsidR="00F2542C" w:rsidRPr="00F2542C" w:rsidRDefault="00F2542C" w:rsidP="00F2542C">
            <w:pPr>
              <w:pStyle w:val="ListParagraph"/>
              <w:keepNext/>
              <w:numPr>
                <w:ilvl w:val="0"/>
                <w:numId w:val="22"/>
              </w:numPr>
              <w:spacing w:after="0" w:line="240" w:lineRule="auto"/>
              <w:ind w:left="709"/>
              <w:contextualSpacing w:val="0"/>
              <w:rPr>
                <w:color w:val="36424B" w:themeColor="text2" w:themeShade="BF"/>
              </w:rPr>
            </w:pPr>
            <w:r w:rsidRPr="00F2542C">
              <w:rPr>
                <w:color w:val="36424B" w:themeColor="text2" w:themeShade="BF"/>
              </w:rPr>
              <w:t xml:space="preserve">Before submitting the head arrangement, please attach a copy of the affected subsidiary arrangements and a statement setting out the following details for each: </w:t>
            </w:r>
          </w:p>
          <w:p w14:paraId="22213356" w14:textId="77777777" w:rsidR="00F2542C" w:rsidRPr="00F2542C" w:rsidRDefault="00F2542C" w:rsidP="00F2542C">
            <w:pPr>
              <w:pStyle w:val="ListParagraph"/>
              <w:keepNext/>
              <w:numPr>
                <w:ilvl w:val="0"/>
                <w:numId w:val="23"/>
              </w:numPr>
              <w:spacing w:after="0" w:line="240" w:lineRule="auto"/>
              <w:ind w:left="1276"/>
              <w:contextualSpacing w:val="0"/>
              <w:rPr>
                <w:color w:val="36424B" w:themeColor="text2" w:themeShade="BF"/>
              </w:rPr>
            </w:pPr>
            <w:r w:rsidRPr="00F2542C">
              <w:rPr>
                <w:color w:val="36424B" w:themeColor="text2" w:themeShade="BF"/>
              </w:rPr>
              <w:t xml:space="preserve">Name of the subsidiary </w:t>
            </w:r>
            <w:proofErr w:type="gramStart"/>
            <w:r w:rsidRPr="00F2542C">
              <w:rPr>
                <w:color w:val="36424B" w:themeColor="text2" w:themeShade="BF"/>
              </w:rPr>
              <w:t>arrangement;</w:t>
            </w:r>
            <w:proofErr w:type="gramEnd"/>
            <w:r w:rsidRPr="00F2542C">
              <w:rPr>
                <w:color w:val="36424B" w:themeColor="text2" w:themeShade="BF"/>
              </w:rPr>
              <w:t xml:space="preserve"> </w:t>
            </w:r>
          </w:p>
          <w:p w14:paraId="6EBB3F49" w14:textId="77777777" w:rsidR="00F2542C" w:rsidRPr="00F2542C" w:rsidRDefault="00F2542C" w:rsidP="00F2542C">
            <w:pPr>
              <w:pStyle w:val="ListParagraph"/>
              <w:keepNext/>
              <w:numPr>
                <w:ilvl w:val="0"/>
                <w:numId w:val="23"/>
              </w:numPr>
              <w:spacing w:after="0" w:line="240" w:lineRule="auto"/>
              <w:ind w:left="1276"/>
              <w:contextualSpacing w:val="0"/>
              <w:rPr>
                <w:color w:val="36424B" w:themeColor="text2" w:themeShade="BF"/>
              </w:rPr>
            </w:pPr>
            <w:r w:rsidRPr="00F2542C">
              <w:rPr>
                <w:color w:val="36424B" w:themeColor="text2" w:themeShade="BF"/>
              </w:rPr>
              <w:t xml:space="preserve">Parties to the subsidiary </w:t>
            </w:r>
            <w:proofErr w:type="gramStart"/>
            <w:r w:rsidRPr="00F2542C">
              <w:rPr>
                <w:color w:val="36424B" w:themeColor="text2" w:themeShade="BF"/>
              </w:rPr>
              <w:t>arrangement;</w:t>
            </w:r>
            <w:proofErr w:type="gramEnd"/>
          </w:p>
          <w:p w14:paraId="2077B394" w14:textId="77777777" w:rsidR="00F2542C" w:rsidRPr="00F2542C" w:rsidRDefault="00F2542C" w:rsidP="00F2542C">
            <w:pPr>
              <w:pStyle w:val="ListParagraph"/>
              <w:keepNext/>
              <w:numPr>
                <w:ilvl w:val="0"/>
                <w:numId w:val="23"/>
              </w:numPr>
              <w:spacing w:after="0" w:line="240" w:lineRule="auto"/>
              <w:ind w:left="1276"/>
              <w:contextualSpacing w:val="0"/>
              <w:rPr>
                <w:color w:val="36424B" w:themeColor="text2" w:themeShade="BF"/>
              </w:rPr>
            </w:pPr>
            <w:r w:rsidRPr="00F2542C">
              <w:rPr>
                <w:color w:val="36424B" w:themeColor="text2" w:themeShade="BF"/>
              </w:rPr>
              <w:t xml:space="preserve">Date the subsidiary arrangement was entered </w:t>
            </w:r>
            <w:proofErr w:type="gramStart"/>
            <w:r w:rsidRPr="00F2542C">
              <w:rPr>
                <w:color w:val="36424B" w:themeColor="text2" w:themeShade="BF"/>
              </w:rPr>
              <w:t>into;</w:t>
            </w:r>
            <w:proofErr w:type="gramEnd"/>
            <w:r w:rsidRPr="00F2542C">
              <w:rPr>
                <w:color w:val="36424B" w:themeColor="text2" w:themeShade="BF"/>
              </w:rPr>
              <w:t xml:space="preserve"> </w:t>
            </w:r>
          </w:p>
          <w:p w14:paraId="2B310983" w14:textId="77777777" w:rsidR="00F2542C" w:rsidRPr="00F2542C" w:rsidRDefault="00F2542C" w:rsidP="00F2542C">
            <w:pPr>
              <w:pStyle w:val="ListParagraph"/>
              <w:keepNext/>
              <w:numPr>
                <w:ilvl w:val="0"/>
                <w:numId w:val="23"/>
              </w:numPr>
              <w:spacing w:after="0" w:line="240" w:lineRule="auto"/>
              <w:ind w:left="1276"/>
              <w:contextualSpacing w:val="0"/>
              <w:rPr>
                <w:color w:val="36424B" w:themeColor="text2" w:themeShade="BF"/>
              </w:rPr>
            </w:pPr>
            <w:r w:rsidRPr="00F2542C">
              <w:rPr>
                <w:color w:val="36424B" w:themeColor="text2" w:themeShade="BF"/>
              </w:rPr>
              <w:t xml:space="preserve">Whether the subsidiary arrangement is legally binding under Australian law, legally binding under a foreign law, or not legally </w:t>
            </w:r>
            <w:proofErr w:type="gramStart"/>
            <w:r w:rsidRPr="00F2542C">
              <w:rPr>
                <w:color w:val="36424B" w:themeColor="text2" w:themeShade="BF"/>
              </w:rPr>
              <w:t>binding;</w:t>
            </w:r>
            <w:proofErr w:type="gramEnd"/>
          </w:p>
          <w:p w14:paraId="1346AAC7" w14:textId="77777777" w:rsidR="00F2542C" w:rsidRPr="00F2542C" w:rsidRDefault="00F2542C" w:rsidP="00F2542C">
            <w:pPr>
              <w:pStyle w:val="ListParagraph"/>
              <w:keepNext/>
              <w:numPr>
                <w:ilvl w:val="0"/>
                <w:numId w:val="23"/>
              </w:numPr>
              <w:spacing w:after="0" w:line="240" w:lineRule="auto"/>
              <w:ind w:left="1276"/>
              <w:contextualSpacing w:val="0"/>
              <w:rPr>
                <w:color w:val="36424B" w:themeColor="text2" w:themeShade="BF"/>
              </w:rPr>
            </w:pPr>
            <w:r w:rsidRPr="00F2542C">
              <w:rPr>
                <w:color w:val="36424B" w:themeColor="text2" w:themeShade="BF"/>
              </w:rPr>
              <w:t>Details of any information about the subsidiary arrangement that you request the Minister not to include on the Public Register under paragraph 53(3)(a) of the Act and the reasons for the request.</w:t>
            </w:r>
          </w:p>
          <w:p w14:paraId="19125303" w14:textId="77777777" w:rsidR="00F2542C" w:rsidRPr="00F2542C" w:rsidRDefault="00F2542C" w:rsidP="00F2542C">
            <w:pPr>
              <w:pStyle w:val="ListParagraph"/>
              <w:keepNext/>
              <w:numPr>
                <w:ilvl w:val="0"/>
                <w:numId w:val="22"/>
              </w:numPr>
              <w:spacing w:after="0" w:line="240" w:lineRule="auto"/>
              <w:ind w:left="709"/>
              <w:contextualSpacing w:val="0"/>
              <w:rPr>
                <w:color w:val="36424B" w:themeColor="text2" w:themeShade="BF"/>
              </w:rPr>
            </w:pPr>
            <w:r w:rsidRPr="00F2542C">
              <w:rPr>
                <w:color w:val="36424B" w:themeColor="text2" w:themeShade="BF"/>
              </w:rPr>
              <w:t xml:space="preserve">Please </w:t>
            </w:r>
            <w:r w:rsidRPr="00F2542C">
              <w:rPr>
                <w:color w:val="36424B" w:themeColor="text2" w:themeShade="BF"/>
                <w:u w:val="single"/>
              </w:rPr>
              <w:t>do not</w:t>
            </w:r>
            <w:r w:rsidRPr="00F2542C">
              <w:rPr>
                <w:color w:val="36424B" w:themeColor="text2" w:themeShade="BF"/>
              </w:rPr>
              <w:t xml:space="preserve"> follow this process for subsidiary arrangements that can be notified in the usual way through the Online Portal.</w:t>
            </w:r>
          </w:p>
          <w:p w14:paraId="06686327" w14:textId="77777777" w:rsidR="00F2542C" w:rsidRDefault="00F2542C" w:rsidP="00A13A71">
            <w:pPr>
              <w:keepNext/>
              <w:spacing w:line="240" w:lineRule="auto"/>
              <w:ind w:left="284"/>
            </w:pPr>
            <w:r>
              <w:t xml:space="preserve">If you have already submitted the notification associated with the head arrangement under which you are unable to notify of a subsidiary arrangement, please get in touch with </w:t>
            </w:r>
            <w:hyperlink r:id="rId8" w:history="1">
              <w:r>
                <w:rPr>
                  <w:rStyle w:val="Hyperlink"/>
                </w:rPr>
                <w:t>foreignarrangements@dfat.gov.au</w:t>
              </w:r>
            </w:hyperlink>
            <w:r>
              <w:t xml:space="preserve">. </w:t>
            </w:r>
          </w:p>
        </w:tc>
      </w:tr>
    </w:tbl>
    <w:p w14:paraId="28823AC0" w14:textId="77777777" w:rsidR="00F2542C" w:rsidRDefault="00F2542C" w:rsidP="00F2542C">
      <w:pPr>
        <w:spacing w:line="240" w:lineRule="auto"/>
      </w:pPr>
    </w:p>
    <w:p w14:paraId="10765AA2" w14:textId="5CD83FAD" w:rsidR="00F2542C" w:rsidRDefault="00F2542C" w:rsidP="009118FC"/>
    <w:p w14:paraId="6F0FA4E4" w14:textId="77777777" w:rsidR="00F2542C" w:rsidRDefault="00F2542C" w:rsidP="009118FC"/>
    <w:p w14:paraId="17978A26" w14:textId="13254668" w:rsidR="00F2542C" w:rsidRPr="00F2542C" w:rsidRDefault="00F2542C" w:rsidP="00F2542C">
      <w:pPr>
        <w:pStyle w:val="BoxHeading"/>
        <w:spacing w:before="120" w:after="0"/>
        <w:rPr>
          <w:sz w:val="28"/>
          <w:szCs w:val="28"/>
        </w:rPr>
      </w:pPr>
      <w:r w:rsidRPr="00F2542C">
        <w:rPr>
          <w:sz w:val="28"/>
          <w:szCs w:val="28"/>
        </w:rPr>
        <w:lastRenderedPageBreak/>
        <w:t xml:space="preserve">Should I notify of an arrangement where the text of the arrangement is unable to be located? </w:t>
      </w:r>
    </w:p>
    <w:p w14:paraId="4A6C4885" w14:textId="440F3C90" w:rsidR="00F2542C" w:rsidRPr="00F2542C" w:rsidRDefault="00F2542C" w:rsidP="00F2542C">
      <w:pPr>
        <w:pStyle w:val="ListParagraph"/>
        <w:spacing w:after="0" w:line="240" w:lineRule="auto"/>
        <w:ind w:left="0"/>
        <w:contextualSpacing w:val="0"/>
        <w:rPr>
          <w:color w:val="36424B" w:themeColor="text2" w:themeShade="BF"/>
        </w:rPr>
      </w:pPr>
      <w:r w:rsidRPr="00F2542C">
        <w:rPr>
          <w:color w:val="36424B" w:themeColor="text2" w:themeShade="BF"/>
        </w:rPr>
        <w:t xml:space="preserve">We encourage State/ Territory entities to make every effort to locate arrangements. Copies of arrangements (including unsigned copies) can be provided where they replicate or provide the substance of the original. Multiple documents may also, together, comprise an arrangement. Notifications of arrangements for which no written evidence is provided will not be considered sufficient notifications. If you cannot find a copy of an arrangement, but you are aware it was in writing and remains in operation, please contact us at </w:t>
      </w:r>
      <w:hyperlink r:id="rId9" w:history="1">
        <w:r w:rsidRPr="00F2542C">
          <w:rPr>
            <w:rStyle w:val="Hyperlink"/>
            <w:color w:val="36424B" w:themeColor="text2" w:themeShade="BF"/>
          </w:rPr>
          <w:t>foreignarrangements@dfat.gov.au</w:t>
        </w:r>
      </w:hyperlink>
      <w:r w:rsidRPr="00F2542C">
        <w:rPr>
          <w:color w:val="36424B" w:themeColor="text2" w:themeShade="BF"/>
        </w:rPr>
        <w:t xml:space="preserve">. </w:t>
      </w:r>
    </w:p>
    <w:p w14:paraId="33064AF8" w14:textId="77777777" w:rsidR="00F2542C" w:rsidRPr="00F2542C" w:rsidRDefault="00F2542C" w:rsidP="00F2542C">
      <w:pPr>
        <w:pStyle w:val="BoxHeading"/>
        <w:spacing w:before="120"/>
        <w:rPr>
          <w:sz w:val="28"/>
          <w:szCs w:val="28"/>
          <w:lang w:val="en-AU"/>
        </w:rPr>
      </w:pPr>
      <w:r w:rsidRPr="00F2542C">
        <w:rPr>
          <w:sz w:val="28"/>
          <w:szCs w:val="28"/>
          <w:lang w:val="en-AU"/>
        </w:rPr>
        <w:t xml:space="preserve">How do I request an exemption from publication of information about my arrangement on the Public Register? </w:t>
      </w:r>
    </w:p>
    <w:p w14:paraId="59CA3F8D" w14:textId="77777777" w:rsidR="00F2542C" w:rsidRPr="00F2542C" w:rsidRDefault="00F2542C" w:rsidP="00F2542C">
      <w:pPr>
        <w:spacing w:line="240" w:lineRule="auto"/>
        <w:rPr>
          <w:color w:val="36424B" w:themeColor="text2" w:themeShade="BF"/>
        </w:rPr>
      </w:pPr>
      <w:r w:rsidRPr="00F2542C">
        <w:rPr>
          <w:color w:val="36424B" w:themeColor="text2" w:themeShade="BF"/>
        </w:rPr>
        <w:t>Foreign Arrangements notified through the Online Portal will not automatically be uploaded onto the Public Register. The Scheme provides the option to seek exclusion of information from the Public Register. Requests will be considered by the Taskforce and put to the Foreign Minister for decision.</w:t>
      </w:r>
    </w:p>
    <w:p w14:paraId="3EF4F8F6" w14:textId="77777777" w:rsidR="00F2542C" w:rsidRPr="00F2542C" w:rsidRDefault="00F2542C" w:rsidP="00F2542C">
      <w:pPr>
        <w:spacing w:line="240" w:lineRule="auto"/>
        <w:rPr>
          <w:color w:val="36424B" w:themeColor="text2" w:themeShade="BF"/>
        </w:rPr>
      </w:pPr>
      <w:r w:rsidRPr="00F2542C">
        <w:rPr>
          <w:color w:val="36424B" w:themeColor="text2" w:themeShade="BF"/>
        </w:rPr>
        <w:t>To request an exclusion, please do the following when submitting a notification through the Portal:</w:t>
      </w:r>
    </w:p>
    <w:p w14:paraId="56FFCF0E" w14:textId="77777777" w:rsidR="00F2542C" w:rsidRPr="00F2542C" w:rsidRDefault="00F2542C" w:rsidP="00F2542C">
      <w:pPr>
        <w:pStyle w:val="ListParagraph"/>
        <w:numPr>
          <w:ilvl w:val="0"/>
          <w:numId w:val="24"/>
        </w:numPr>
        <w:spacing w:after="0" w:line="240" w:lineRule="auto"/>
        <w:ind w:left="709"/>
        <w:contextualSpacing w:val="0"/>
        <w:rPr>
          <w:color w:val="36424B" w:themeColor="text2" w:themeShade="BF"/>
        </w:rPr>
      </w:pPr>
      <w:r w:rsidRPr="00F2542C">
        <w:rPr>
          <w:color w:val="36424B" w:themeColor="text2" w:themeShade="BF"/>
        </w:rPr>
        <w:t>Complete the details of the arrangement including the full title. Please do not redact titles when submitting notifications through the Online Portal.</w:t>
      </w:r>
    </w:p>
    <w:p w14:paraId="2EB73630" w14:textId="77777777" w:rsidR="00F2542C" w:rsidRPr="00F2542C" w:rsidRDefault="00F2542C" w:rsidP="00F2542C">
      <w:pPr>
        <w:pStyle w:val="ListParagraph"/>
        <w:numPr>
          <w:ilvl w:val="0"/>
          <w:numId w:val="24"/>
        </w:numPr>
        <w:spacing w:after="0" w:line="240" w:lineRule="auto"/>
        <w:ind w:left="709"/>
        <w:contextualSpacing w:val="0"/>
        <w:rPr>
          <w:color w:val="36424B" w:themeColor="text2" w:themeShade="BF"/>
        </w:rPr>
      </w:pPr>
      <w:r w:rsidRPr="00F2542C">
        <w:rPr>
          <w:color w:val="36424B" w:themeColor="text2" w:themeShade="BF"/>
        </w:rPr>
        <w:t>Include a copy of the arrangement. Notifications will not be sufficient if a copy of the arrangement is not included.</w:t>
      </w:r>
    </w:p>
    <w:p w14:paraId="45A68AB5" w14:textId="77777777" w:rsidR="00F2542C" w:rsidRPr="00F2542C" w:rsidRDefault="00F2542C" w:rsidP="00F2542C">
      <w:pPr>
        <w:pStyle w:val="ListParagraph"/>
        <w:numPr>
          <w:ilvl w:val="0"/>
          <w:numId w:val="24"/>
        </w:numPr>
        <w:spacing w:after="0" w:line="240" w:lineRule="auto"/>
        <w:ind w:left="709"/>
        <w:contextualSpacing w:val="0"/>
        <w:rPr>
          <w:color w:val="36424B" w:themeColor="text2" w:themeShade="BF"/>
        </w:rPr>
      </w:pPr>
      <w:r w:rsidRPr="00F2542C">
        <w:rPr>
          <w:color w:val="36424B" w:themeColor="text2" w:themeShade="BF"/>
        </w:rPr>
        <w:t xml:space="preserve">When prompted, request exclusion of information from the Public Register and provide information supporting your request in the text boxes. This can include suggested redactions for the Register. You can also upload documents to support the request. </w:t>
      </w:r>
      <w:r w:rsidRPr="00F2542C">
        <w:rPr>
          <w:b/>
          <w:bCs/>
          <w:color w:val="36424B" w:themeColor="text2" w:themeShade="BF"/>
        </w:rPr>
        <w:t>Please ensure you provide sufficient information to support the Foreign Minister’s decision about the exemption request</w:t>
      </w:r>
      <w:r w:rsidRPr="00F2542C">
        <w:rPr>
          <w:color w:val="36424B" w:themeColor="text2" w:themeShade="BF"/>
        </w:rPr>
        <w:t>.</w:t>
      </w:r>
    </w:p>
    <w:p w14:paraId="41830757" w14:textId="77777777" w:rsidR="00F2542C" w:rsidRPr="00F2542C" w:rsidRDefault="00F2542C" w:rsidP="00F2542C">
      <w:pPr>
        <w:spacing w:after="0" w:line="240" w:lineRule="auto"/>
        <w:rPr>
          <w:color w:val="36424B" w:themeColor="text2" w:themeShade="BF"/>
        </w:rPr>
      </w:pPr>
      <w:r w:rsidRPr="00F2542C">
        <w:rPr>
          <w:rFonts w:asciiTheme="majorHAnsi" w:eastAsiaTheme="majorEastAsia" w:hAnsiTheme="majorHAnsi" w:cstheme="majorBidi"/>
          <w:bCs/>
          <w:sz w:val="28"/>
          <w:szCs w:val="28"/>
          <w:lang w:val="en-AU"/>
        </w:rPr>
        <w:t>What are the timeframes for assessment of arrangements?</w:t>
      </w:r>
      <w:r w:rsidRPr="00F2542C">
        <w:rPr>
          <w:rFonts w:asciiTheme="majorHAnsi" w:eastAsiaTheme="majorEastAsia" w:hAnsiTheme="majorHAnsi" w:cstheme="majorBidi"/>
          <w:bCs/>
          <w:sz w:val="28"/>
          <w:szCs w:val="28"/>
          <w:lang w:val="en-AU"/>
        </w:rPr>
        <w:br/>
      </w:r>
      <w:r w:rsidRPr="00F2542C">
        <w:rPr>
          <w:color w:val="36424B" w:themeColor="text2" w:themeShade="BF"/>
        </w:rPr>
        <w:t xml:space="preserve">For prospective core arrangements, the Foreign Minister is required to make a decision on proposals to negotiate and proposals to enter within 30 days of receiving a notification. </w:t>
      </w:r>
    </w:p>
    <w:p w14:paraId="5ABD73B0" w14:textId="77777777" w:rsidR="00F2542C" w:rsidRPr="00F2542C" w:rsidRDefault="00F2542C" w:rsidP="00F2542C">
      <w:pPr>
        <w:spacing w:line="240" w:lineRule="auto"/>
        <w:rPr>
          <w:color w:val="36424B" w:themeColor="text2" w:themeShade="BF"/>
        </w:rPr>
      </w:pPr>
      <w:r w:rsidRPr="00F2542C">
        <w:rPr>
          <w:color w:val="36424B" w:themeColor="text2" w:themeShade="BF"/>
        </w:rPr>
        <w:t xml:space="preserve">For all other arrangements, including all pre-existing arrangements, prospective non-core arrangements, and notification of having entered into a prospective core arrangement, there is no requirement for the Minister to make a decision. State/Territory entities are required to notify these arrangements, but </w:t>
      </w:r>
      <w:r w:rsidRPr="00F2542C">
        <w:rPr>
          <w:b/>
          <w:bCs/>
          <w:color w:val="36424B" w:themeColor="text2" w:themeShade="BF"/>
        </w:rPr>
        <w:t>there is no need to wait for a decision</w:t>
      </w:r>
      <w:r w:rsidRPr="00F2542C">
        <w:rPr>
          <w:color w:val="36424B" w:themeColor="text2" w:themeShade="BF"/>
        </w:rPr>
        <w:t>. Arrangements may proceed unless entities are advised otherwise.</w:t>
      </w:r>
    </w:p>
    <w:p w14:paraId="310C1409" w14:textId="77777777" w:rsidR="00F2542C" w:rsidRPr="00F2542C" w:rsidRDefault="00F2542C" w:rsidP="00F2542C">
      <w:pPr>
        <w:spacing w:line="240" w:lineRule="auto"/>
        <w:rPr>
          <w:color w:val="36424B" w:themeColor="text2" w:themeShade="BF"/>
        </w:rPr>
      </w:pPr>
      <w:r w:rsidRPr="00F2542C">
        <w:rPr>
          <w:color w:val="36424B" w:themeColor="text2" w:themeShade="BF"/>
        </w:rPr>
        <w:t xml:space="preserve">If a State/Territory entity is concerned about a particular arrangement and thinks it may raise foreign policy or foreign relations concerns, we encourage you to contact the Taskforce at </w:t>
      </w:r>
      <w:hyperlink r:id="rId10" w:history="1">
        <w:r w:rsidRPr="00F2542C">
          <w:rPr>
            <w:rStyle w:val="Hyperlink"/>
            <w:color w:val="36424B" w:themeColor="text2" w:themeShade="BF"/>
          </w:rPr>
          <w:t>foreignarrangements@dfat.gov.au</w:t>
        </w:r>
      </w:hyperlink>
      <w:r w:rsidRPr="00F2542C">
        <w:rPr>
          <w:color w:val="36424B" w:themeColor="text2" w:themeShade="BF"/>
        </w:rPr>
        <w:t xml:space="preserve"> at your earliest opportunity. </w:t>
      </w:r>
    </w:p>
    <w:p w14:paraId="74BFD4C2" w14:textId="77777777" w:rsidR="00B90E8A" w:rsidRPr="00B90E8A" w:rsidRDefault="00F2542C" w:rsidP="00B90E8A">
      <w:pPr>
        <w:spacing w:after="0" w:line="240" w:lineRule="auto"/>
        <w:rPr>
          <w:rFonts w:eastAsia="Times New Roman"/>
          <w:color w:val="36424B" w:themeColor="text2" w:themeShade="BF"/>
        </w:rPr>
      </w:pPr>
      <w:r w:rsidRPr="00B90E8A">
        <w:rPr>
          <w:rFonts w:asciiTheme="majorHAnsi" w:eastAsiaTheme="majorEastAsia" w:hAnsiTheme="majorHAnsi" w:cstheme="majorBidi"/>
          <w:bCs/>
          <w:sz w:val="28"/>
          <w:szCs w:val="28"/>
          <w:lang w:val="en-AU"/>
        </w:rPr>
        <w:t>Does the ‘minor administrative or logistical matters’ exemption apply to my arrangement?</w:t>
      </w:r>
      <w:r w:rsidRPr="00B90E8A">
        <w:rPr>
          <w:rFonts w:asciiTheme="majorHAnsi" w:eastAsiaTheme="majorEastAsia" w:hAnsiTheme="majorHAnsi" w:cstheme="majorBidi"/>
          <w:bCs/>
          <w:sz w:val="28"/>
          <w:szCs w:val="28"/>
          <w:lang w:val="en-AU"/>
        </w:rPr>
        <w:br/>
      </w:r>
      <w:r w:rsidR="00B90E8A" w:rsidRPr="00B90E8A">
        <w:rPr>
          <w:rFonts w:eastAsia="Times New Roman"/>
          <w:color w:val="36424B" w:themeColor="text2" w:themeShade="BF"/>
        </w:rPr>
        <w:t xml:space="preserve">The exemption for foreign arrangements that solely deal with minor administrative matters is narrow, and only applies to foreign arrangements - </w:t>
      </w:r>
      <w:r w:rsidR="00B90E8A" w:rsidRPr="00B90E8A">
        <w:rPr>
          <w:rFonts w:eastAsia="Times New Roman"/>
          <w:b/>
          <w:bCs/>
          <w:color w:val="36424B" w:themeColor="text2" w:themeShade="BF"/>
        </w:rPr>
        <w:t>not subsidiary arrangements</w:t>
      </w:r>
      <w:r w:rsidR="00B90E8A" w:rsidRPr="00B90E8A">
        <w:rPr>
          <w:rFonts w:eastAsia="Times New Roman"/>
          <w:color w:val="36424B" w:themeColor="text2" w:themeShade="BF"/>
        </w:rPr>
        <w:t xml:space="preserve"> (which would all need to be notified). This exemption is restricted to foreign arrangements that </w:t>
      </w:r>
      <w:r w:rsidR="00B90E8A" w:rsidRPr="00B90E8A">
        <w:rPr>
          <w:rFonts w:eastAsia="Times New Roman"/>
          <w:i/>
          <w:iCs/>
          <w:color w:val="36424B" w:themeColor="text2" w:themeShade="BF"/>
        </w:rPr>
        <w:t>do not</w:t>
      </w:r>
      <w:r w:rsidR="00B90E8A" w:rsidRPr="00B90E8A">
        <w:rPr>
          <w:rFonts w:eastAsia="Times New Roman"/>
          <w:color w:val="36424B" w:themeColor="text2" w:themeShade="BF"/>
        </w:rPr>
        <w:t xml:space="preserve"> contain substantive commitments which may raise considerations under the foreign policy test. The exemption will not cover foreign arrangements which are substantive, and do not </w:t>
      </w:r>
      <w:r w:rsidR="00B90E8A" w:rsidRPr="00B90E8A">
        <w:rPr>
          <w:rFonts w:eastAsia="Times New Roman"/>
          <w:i/>
          <w:iCs/>
          <w:color w:val="36424B" w:themeColor="text2" w:themeShade="BF"/>
        </w:rPr>
        <w:t xml:space="preserve">solely </w:t>
      </w:r>
      <w:r w:rsidR="00B90E8A" w:rsidRPr="00B90E8A">
        <w:rPr>
          <w:rFonts w:eastAsia="Times New Roman"/>
          <w:color w:val="36424B" w:themeColor="text2" w:themeShade="BF"/>
        </w:rPr>
        <w:t>deal with minor administrative matters. For example, an arrangement is likely to be substantive where the terms address:</w:t>
      </w:r>
    </w:p>
    <w:p w14:paraId="7E51FD20" w14:textId="77777777" w:rsidR="00B90E8A" w:rsidRPr="00B90E8A" w:rsidRDefault="00B90E8A" w:rsidP="00B90E8A">
      <w:pPr>
        <w:pStyle w:val="ListParagraph"/>
        <w:numPr>
          <w:ilvl w:val="0"/>
          <w:numId w:val="25"/>
        </w:numPr>
        <w:spacing w:after="0" w:line="240" w:lineRule="auto"/>
        <w:ind w:left="709"/>
        <w:contextualSpacing w:val="0"/>
        <w:rPr>
          <w:color w:val="36424B" w:themeColor="text2" w:themeShade="BF"/>
        </w:rPr>
      </w:pPr>
      <w:r w:rsidRPr="00B90E8A">
        <w:rPr>
          <w:color w:val="36424B" w:themeColor="text2" w:themeShade="BF"/>
        </w:rPr>
        <w:t xml:space="preserve">development or substance of </w:t>
      </w:r>
      <w:proofErr w:type="gramStart"/>
      <w:r w:rsidRPr="00B90E8A">
        <w:rPr>
          <w:color w:val="36424B" w:themeColor="text2" w:themeShade="BF"/>
        </w:rPr>
        <w:t>research;</w:t>
      </w:r>
      <w:proofErr w:type="gramEnd"/>
      <w:r w:rsidRPr="00B90E8A">
        <w:rPr>
          <w:color w:val="36424B" w:themeColor="text2" w:themeShade="BF"/>
        </w:rPr>
        <w:t xml:space="preserve"> </w:t>
      </w:r>
    </w:p>
    <w:p w14:paraId="2A68AF22" w14:textId="77777777" w:rsidR="00B90E8A" w:rsidRPr="00B90E8A" w:rsidRDefault="00B90E8A" w:rsidP="00B90E8A">
      <w:pPr>
        <w:pStyle w:val="ListParagraph"/>
        <w:numPr>
          <w:ilvl w:val="0"/>
          <w:numId w:val="25"/>
        </w:numPr>
        <w:spacing w:after="0" w:line="240" w:lineRule="auto"/>
        <w:ind w:left="709"/>
        <w:contextualSpacing w:val="0"/>
        <w:rPr>
          <w:color w:val="36424B" w:themeColor="text2" w:themeShade="BF"/>
        </w:rPr>
      </w:pPr>
      <w:r w:rsidRPr="00B90E8A">
        <w:rPr>
          <w:color w:val="36424B" w:themeColor="text2" w:themeShade="BF"/>
        </w:rPr>
        <w:t xml:space="preserve">topics that research will </w:t>
      </w:r>
      <w:proofErr w:type="gramStart"/>
      <w:r w:rsidRPr="00B90E8A">
        <w:rPr>
          <w:color w:val="36424B" w:themeColor="text2" w:themeShade="BF"/>
        </w:rPr>
        <w:t>cover;</w:t>
      </w:r>
      <w:proofErr w:type="gramEnd"/>
      <w:r w:rsidRPr="00B90E8A">
        <w:rPr>
          <w:color w:val="36424B" w:themeColor="text2" w:themeShade="BF"/>
        </w:rPr>
        <w:t xml:space="preserve"> </w:t>
      </w:r>
    </w:p>
    <w:p w14:paraId="0D138498" w14:textId="77777777" w:rsidR="00B90E8A" w:rsidRPr="00B90E8A" w:rsidRDefault="00B90E8A" w:rsidP="00B90E8A">
      <w:pPr>
        <w:pStyle w:val="ListParagraph"/>
        <w:numPr>
          <w:ilvl w:val="0"/>
          <w:numId w:val="25"/>
        </w:numPr>
        <w:spacing w:after="0" w:line="240" w:lineRule="auto"/>
        <w:ind w:left="709"/>
        <w:contextualSpacing w:val="0"/>
        <w:rPr>
          <w:color w:val="36424B" w:themeColor="text2" w:themeShade="BF"/>
        </w:rPr>
      </w:pPr>
      <w:r w:rsidRPr="00B90E8A">
        <w:rPr>
          <w:color w:val="36424B" w:themeColor="text2" w:themeShade="BF"/>
        </w:rPr>
        <w:t xml:space="preserve">funding agreements, including where the funding and amount is discretionary or otherwise subject to </w:t>
      </w:r>
      <w:proofErr w:type="gramStart"/>
      <w:r w:rsidRPr="00B90E8A">
        <w:rPr>
          <w:color w:val="36424B" w:themeColor="text2" w:themeShade="BF"/>
        </w:rPr>
        <w:t>negotiation;</w:t>
      </w:r>
      <w:proofErr w:type="gramEnd"/>
    </w:p>
    <w:p w14:paraId="40D27B82" w14:textId="77777777" w:rsidR="00B90E8A" w:rsidRPr="00B90E8A" w:rsidRDefault="00B90E8A" w:rsidP="00B90E8A">
      <w:pPr>
        <w:pStyle w:val="ListParagraph"/>
        <w:numPr>
          <w:ilvl w:val="0"/>
          <w:numId w:val="25"/>
        </w:numPr>
        <w:spacing w:after="0" w:line="240" w:lineRule="auto"/>
        <w:ind w:left="709"/>
        <w:contextualSpacing w:val="0"/>
        <w:rPr>
          <w:color w:val="36424B" w:themeColor="text2" w:themeShade="BF"/>
        </w:rPr>
      </w:pPr>
      <w:r w:rsidRPr="00B90E8A">
        <w:rPr>
          <w:color w:val="36424B" w:themeColor="text2" w:themeShade="BF"/>
        </w:rPr>
        <w:t>other substantive rights and obligations (</w:t>
      </w:r>
      <w:proofErr w:type="spellStart"/>
      <w:r w:rsidRPr="00B90E8A">
        <w:rPr>
          <w:color w:val="36424B" w:themeColor="text2" w:themeShade="BF"/>
        </w:rPr>
        <w:t>e.g</w:t>
      </w:r>
      <w:proofErr w:type="spellEnd"/>
      <w:r w:rsidRPr="00B90E8A">
        <w:rPr>
          <w:color w:val="36424B" w:themeColor="text2" w:themeShade="BF"/>
        </w:rPr>
        <w:t xml:space="preserve"> management of intellectual property, strategy and institutional cooperation). </w:t>
      </w:r>
    </w:p>
    <w:p w14:paraId="65D8FE38" w14:textId="77777777" w:rsidR="00B90E8A" w:rsidRPr="00B90E8A" w:rsidRDefault="00B90E8A" w:rsidP="00B90E8A">
      <w:pPr>
        <w:spacing w:line="240" w:lineRule="auto"/>
        <w:ind w:left="284"/>
        <w:rPr>
          <w:color w:val="36424B" w:themeColor="text2" w:themeShade="BF"/>
        </w:rPr>
      </w:pPr>
    </w:p>
    <w:p w14:paraId="509D9BEF" w14:textId="77777777" w:rsidR="00B90E8A" w:rsidRPr="00B90E8A" w:rsidRDefault="00B90E8A" w:rsidP="00B90E8A">
      <w:pPr>
        <w:spacing w:line="240" w:lineRule="auto"/>
        <w:rPr>
          <w:color w:val="36424B" w:themeColor="text2" w:themeShade="BF"/>
        </w:rPr>
      </w:pPr>
      <w:r w:rsidRPr="00B90E8A">
        <w:rPr>
          <w:color w:val="36424B" w:themeColor="text2" w:themeShade="BF"/>
        </w:rPr>
        <w:lastRenderedPageBreak/>
        <w:t>Arrangements will need to be assessed by the notifying entity on a case-by-case basis to determine whether a particular arrangement is a foreign arrangement or is a subsidiary arrangement, and then to consider whether an exemption applies. Examples of common university arrangements could include:</w:t>
      </w:r>
    </w:p>
    <w:p w14:paraId="497407C0" w14:textId="77777777" w:rsidR="00B90E8A" w:rsidRPr="00B90E8A" w:rsidRDefault="00B90E8A" w:rsidP="00B90E8A">
      <w:pPr>
        <w:pStyle w:val="ListParagraph"/>
        <w:numPr>
          <w:ilvl w:val="0"/>
          <w:numId w:val="26"/>
        </w:numPr>
        <w:spacing w:after="0" w:line="240" w:lineRule="auto"/>
        <w:ind w:left="709"/>
        <w:contextualSpacing w:val="0"/>
        <w:rPr>
          <w:color w:val="36424B" w:themeColor="text2" w:themeShade="BF"/>
        </w:rPr>
      </w:pPr>
      <w:r w:rsidRPr="00B90E8A">
        <w:rPr>
          <w:color w:val="36424B" w:themeColor="text2" w:themeShade="BF"/>
          <w:u w:val="single"/>
        </w:rPr>
        <w:t>Credit transfer arrangements</w:t>
      </w:r>
      <w:r w:rsidRPr="00B90E8A">
        <w:rPr>
          <w:color w:val="36424B" w:themeColor="text2" w:themeShade="BF"/>
        </w:rPr>
        <w:t xml:space="preserve"> – These arrangements are likely to be subject to the minor administrative exemption where they only deal with recognition of study already conducted, and do not address more substantive matters. </w:t>
      </w:r>
    </w:p>
    <w:p w14:paraId="035A281F" w14:textId="77777777" w:rsidR="00B90E8A" w:rsidRPr="00B90E8A" w:rsidRDefault="00B90E8A" w:rsidP="00B90E8A">
      <w:pPr>
        <w:pStyle w:val="ListParagraph"/>
        <w:numPr>
          <w:ilvl w:val="0"/>
          <w:numId w:val="26"/>
        </w:numPr>
        <w:spacing w:after="0" w:line="240" w:lineRule="auto"/>
        <w:ind w:left="709"/>
        <w:contextualSpacing w:val="0"/>
        <w:rPr>
          <w:color w:val="36424B" w:themeColor="text2" w:themeShade="BF"/>
        </w:rPr>
      </w:pPr>
      <w:r w:rsidRPr="00B90E8A">
        <w:rPr>
          <w:color w:val="36424B" w:themeColor="text2" w:themeShade="BF"/>
          <w:u w:val="single"/>
        </w:rPr>
        <w:t>Joint PhD/research candidature or supervision arrangements</w:t>
      </w:r>
      <w:r w:rsidRPr="00B90E8A">
        <w:rPr>
          <w:color w:val="36424B" w:themeColor="text2" w:themeShade="BF"/>
        </w:rPr>
        <w:t xml:space="preserve"> - This kind of arrangement is unlikely to fall within the minor administrative exception, as such arrangements often contain substantive terms relating to the relationship between the two educational institutions providing the joint degree, the determination or supervision of study topics, and the management of intellectual property rights. In general, if the arrangement only details the individual concerned and their supervision arrangements, it may fall within the exemption. However, if there is detail about the nature of a specific project, or other rights and obligations including intellectual property, the arrangement is not likely to be exempted.</w:t>
      </w:r>
    </w:p>
    <w:p w14:paraId="34C1D8CC" w14:textId="77777777" w:rsidR="00B90E8A" w:rsidRPr="00B90E8A" w:rsidRDefault="00B90E8A" w:rsidP="00B90E8A">
      <w:pPr>
        <w:pStyle w:val="ListParagraph"/>
        <w:numPr>
          <w:ilvl w:val="0"/>
          <w:numId w:val="26"/>
        </w:numPr>
        <w:spacing w:after="0" w:line="240" w:lineRule="auto"/>
        <w:ind w:left="709"/>
        <w:contextualSpacing w:val="0"/>
        <w:rPr>
          <w:color w:val="36424B" w:themeColor="text2" w:themeShade="BF"/>
        </w:rPr>
      </w:pPr>
      <w:r w:rsidRPr="00B90E8A">
        <w:rPr>
          <w:color w:val="36424B" w:themeColor="text2" w:themeShade="BF"/>
          <w:u w:val="single"/>
        </w:rPr>
        <w:t>Student fee sponsorship or guarantee arrangements</w:t>
      </w:r>
      <w:r w:rsidRPr="00B90E8A">
        <w:rPr>
          <w:color w:val="36424B" w:themeColor="text2" w:themeShade="BF"/>
        </w:rPr>
        <w:t xml:space="preserve"> - This kind of arrangement is likely to fall within the minor administrative exemption when the arrangement solely concerns the manner in which an individual student pays for their (separately organised) studies, where the nature of the fees is not discretionary or open to determination between the parties. </w:t>
      </w:r>
    </w:p>
    <w:bookmarkEnd w:id="0"/>
    <w:sectPr w:rsidR="00B90E8A" w:rsidRPr="00B90E8A" w:rsidSect="00E216F2">
      <w:headerReference w:type="default" r:id="rId11"/>
      <w:footerReference w:type="default" r:id="rId12"/>
      <w:headerReference w:type="first" r:id="rId13"/>
      <w:pgSz w:w="11906" w:h="16838" w:code="9"/>
      <w:pgMar w:top="1701" w:right="1134" w:bottom="709"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73F0" w14:textId="77777777" w:rsidR="00AE4E9A" w:rsidRDefault="00AE4E9A" w:rsidP="00D37B04">
      <w:r>
        <w:separator/>
      </w:r>
    </w:p>
  </w:endnote>
  <w:endnote w:type="continuationSeparator" w:id="0">
    <w:p w14:paraId="1A5548EA" w14:textId="77777777" w:rsidR="00AE4E9A" w:rsidRDefault="00AE4E9A" w:rsidP="00D37B04">
      <w:r>
        <w:continuationSeparator/>
      </w:r>
    </w:p>
  </w:endnote>
  <w:endnote w:id="1">
    <w:p w14:paraId="29CB341B" w14:textId="77777777" w:rsidR="00E56E1C" w:rsidRDefault="00E56E1C" w:rsidP="00E56E1C">
      <w:pPr>
        <w:pStyle w:val="EndnoteText"/>
        <w:rPr>
          <w:lang w:val="en-AU"/>
        </w:rPr>
      </w:pPr>
      <w:r>
        <w:rPr>
          <w:rStyle w:val="EndnoteReference"/>
        </w:rPr>
        <w:endnoteRef/>
      </w:r>
      <w:r>
        <w:t xml:space="preserve"> </w:t>
      </w:r>
      <w:r>
        <w:rPr>
          <w:sz w:val="18"/>
          <w:szCs w:val="18"/>
        </w:rPr>
        <w:t xml:space="preserve">* </w:t>
      </w:r>
      <w:r>
        <w:rPr>
          <w:sz w:val="17"/>
          <w:szCs w:val="17"/>
        </w:rPr>
        <w:t>This FACT SHEET sets out some of the requirements of the Australia’s Foreign Relations (State and Territory Arrangements) Act 2020. It is not intended to be comprehensive and should not be relied on as a definitive interpretation of the Act. It is also not intended as legal advice. Readers should rely on the substantive provisions of the Act as enacted by Parliament, and any applicable rules, in assessing their obligations and seek independent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5163" w14:textId="4C6A55C0" w:rsidR="00D50E77" w:rsidRDefault="00D50E7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C965A" w14:textId="77777777" w:rsidR="00AE4E9A" w:rsidRPr="008C5A0E" w:rsidRDefault="00AE4E9A" w:rsidP="00D37B04">
      <w:pPr>
        <w:pStyle w:val="Footer"/>
      </w:pPr>
    </w:p>
  </w:footnote>
  <w:footnote w:type="continuationSeparator" w:id="0">
    <w:p w14:paraId="67F40019" w14:textId="77777777" w:rsidR="00AE4E9A" w:rsidRDefault="00AE4E9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7057" w14:textId="304B7882" w:rsidR="00505BE6" w:rsidRDefault="002D5B25">
    <w:pPr>
      <w:pStyle w:val="Header"/>
    </w:pPr>
    <w:r w:rsidRPr="00943730">
      <w:rPr>
        <w:noProof/>
        <w:lang w:val="en-AU" w:eastAsia="en-AU"/>
      </w:rPr>
      <w:drawing>
        <wp:anchor distT="0" distB="0" distL="114300" distR="114300" simplePos="0" relativeHeight="251662336" behindDoc="1" locked="1" layoutInCell="1" allowOverlap="1" wp14:anchorId="5BBA2DAC" wp14:editId="1BDF01D8">
          <wp:simplePos x="0" y="0"/>
          <wp:positionH relativeFrom="page">
            <wp:posOffset>12700</wp:posOffset>
          </wp:positionH>
          <wp:positionV relativeFrom="page">
            <wp:posOffset>57150</wp:posOffset>
          </wp:positionV>
          <wp:extent cx="7559675" cy="10692765"/>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3A9D0" w14:textId="4A5CD3BB" w:rsidR="002D5B25" w:rsidRDefault="002D5B25" w:rsidP="002D5B25">
    <w:pPr>
      <w:pStyle w:val="Header"/>
    </w:pPr>
  </w:p>
  <w:p w14:paraId="603391CE" w14:textId="1379D14F" w:rsidR="00EB106E" w:rsidRDefault="002D5B25" w:rsidP="00943730">
    <w:pPr>
      <w:pStyle w:val="Header"/>
    </w:pPr>
    <w:r w:rsidRPr="00943730">
      <w:fldChar w:fldCharType="begin"/>
    </w:r>
    <w:r w:rsidRPr="00943730">
      <w:instrText xml:space="preserve"> DATE  \@ "MMMM yyyy"  \* MERGEFORMAT </w:instrText>
    </w:r>
    <w:r w:rsidRPr="00943730">
      <w:fldChar w:fldCharType="separate"/>
    </w:r>
    <w:r w:rsidR="00505BE6">
      <w:rPr>
        <w:noProof/>
      </w:rPr>
      <w:t>June 2021</w:t>
    </w:r>
    <w:r w:rsidRPr="00943730">
      <w:fldChar w:fldCharType="end"/>
    </w:r>
  </w:p>
  <w:p w14:paraId="4429C9C2" w14:textId="77777777" w:rsidR="00EB106E" w:rsidRDefault="00EB106E" w:rsidP="00943730">
    <w:pPr>
      <w:pStyle w:val="Header"/>
    </w:pPr>
  </w:p>
  <w:p w14:paraId="6646872C" w14:textId="62ADE736" w:rsidR="00D37B04" w:rsidRPr="00943730" w:rsidRDefault="002D5B25" w:rsidP="00943730">
    <w:pPr>
      <w:pStyle w:val="Header"/>
    </w:pPr>
    <w:r w:rsidRPr="00943730">
      <w:rPr>
        <w:noProof/>
        <w:lang w:val="en-AU" w:eastAsia="en-AU"/>
      </w:rPr>
      <w:drawing>
        <wp:inline distT="0" distB="0" distL="0" distR="0" wp14:anchorId="66D0503B" wp14:editId="27AB2525">
          <wp:extent cx="3166745" cy="554355"/>
          <wp:effectExtent l="0" t="0" r="0" b="0"/>
          <wp:docPr id="18" name="Picture 18" descr="Department of Foreign Affairs and Tra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r w:rsidRPr="00943730">
      <w:rPr>
        <w:noProof/>
        <w:lang w:val="en-AU" w:eastAsia="en-AU"/>
      </w:rPr>
      <w:drawing>
        <wp:anchor distT="0" distB="0" distL="114300" distR="114300" simplePos="0" relativeHeight="251656192" behindDoc="1" locked="1" layoutInCell="1" allowOverlap="1" wp14:anchorId="5F2268FF" wp14:editId="55566CD8">
          <wp:simplePos x="0" y="0"/>
          <wp:positionH relativeFrom="page">
            <wp:posOffset>12700</wp:posOffset>
          </wp:positionH>
          <wp:positionV relativeFrom="page">
            <wp:posOffset>0</wp:posOffset>
          </wp:positionV>
          <wp:extent cx="7559040" cy="10692765"/>
          <wp:effectExtent l="0" t="0" r="381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3FA9"/>
    <w:multiLevelType w:val="hybridMultilevel"/>
    <w:tmpl w:val="E6444966"/>
    <w:lvl w:ilvl="0" w:tplc="E4120938">
      <w:start w:val="1"/>
      <w:numFmt w:val="lowerLetter"/>
      <w:lvlText w:val="%1."/>
      <w:lvlJc w:val="left"/>
      <w:pPr>
        <w:ind w:left="360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57071E"/>
    <w:multiLevelType w:val="hybridMultilevel"/>
    <w:tmpl w:val="645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91612AA"/>
    <w:multiLevelType w:val="hybridMultilevel"/>
    <w:tmpl w:val="6DCEEA88"/>
    <w:lvl w:ilvl="0" w:tplc="63842D9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CF44BC"/>
    <w:multiLevelType w:val="hybridMultilevel"/>
    <w:tmpl w:val="3C7CC310"/>
    <w:lvl w:ilvl="0" w:tplc="639A66B8">
      <w:start w:val="1"/>
      <w:numFmt w:val="lowerLetter"/>
      <w:lvlText w:val="%1."/>
      <w:lvlJc w:val="left"/>
      <w:pPr>
        <w:ind w:left="360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C453D2F"/>
    <w:multiLevelType w:val="multilevel"/>
    <w:tmpl w:val="51963F56"/>
    <w:numStyleLink w:val="BulletsList"/>
  </w:abstractNum>
  <w:abstractNum w:abstractNumId="7" w15:restartNumberingAfterBreak="0">
    <w:nsid w:val="1F9B443D"/>
    <w:multiLevelType w:val="hybridMultilevel"/>
    <w:tmpl w:val="3C7CC310"/>
    <w:lvl w:ilvl="0" w:tplc="639A66B8">
      <w:start w:val="1"/>
      <w:numFmt w:val="lowerLetter"/>
      <w:lvlText w:val="%1."/>
      <w:lvlJc w:val="left"/>
      <w:pPr>
        <w:ind w:left="360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2DA121A"/>
    <w:multiLevelType w:val="hybridMultilevel"/>
    <w:tmpl w:val="57BC5FFA"/>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0" w15:restartNumberingAfterBreak="0">
    <w:nsid w:val="43316045"/>
    <w:multiLevelType w:val="hybridMultilevel"/>
    <w:tmpl w:val="FAD8E73E"/>
    <w:lvl w:ilvl="0" w:tplc="0C090001">
      <w:start w:val="1"/>
      <w:numFmt w:val="bullet"/>
      <w:lvlText w:val=""/>
      <w:lvlJc w:val="left"/>
      <w:pPr>
        <w:ind w:left="1996" w:hanging="360"/>
      </w:pPr>
      <w:rPr>
        <w:rFonts w:ascii="Symbol" w:hAnsi="Symbol" w:hint="default"/>
      </w:rPr>
    </w:lvl>
    <w:lvl w:ilvl="1" w:tplc="0C090003">
      <w:start w:val="1"/>
      <w:numFmt w:val="bullet"/>
      <w:lvlText w:val="o"/>
      <w:lvlJc w:val="left"/>
      <w:pPr>
        <w:ind w:left="2716" w:hanging="360"/>
      </w:pPr>
      <w:rPr>
        <w:rFonts w:ascii="Courier New" w:hAnsi="Courier New" w:cs="Courier New" w:hint="default"/>
      </w:rPr>
    </w:lvl>
    <w:lvl w:ilvl="2" w:tplc="0C090005">
      <w:start w:val="1"/>
      <w:numFmt w:val="bullet"/>
      <w:lvlText w:val=""/>
      <w:lvlJc w:val="left"/>
      <w:pPr>
        <w:ind w:left="3436" w:hanging="360"/>
      </w:pPr>
      <w:rPr>
        <w:rFonts w:ascii="Wingdings" w:hAnsi="Wingdings" w:hint="default"/>
      </w:rPr>
    </w:lvl>
    <w:lvl w:ilvl="3" w:tplc="0C090001">
      <w:start w:val="1"/>
      <w:numFmt w:val="bullet"/>
      <w:lvlText w:val=""/>
      <w:lvlJc w:val="left"/>
      <w:pPr>
        <w:ind w:left="4156" w:hanging="360"/>
      </w:pPr>
      <w:rPr>
        <w:rFonts w:ascii="Symbol" w:hAnsi="Symbol" w:hint="default"/>
      </w:rPr>
    </w:lvl>
    <w:lvl w:ilvl="4" w:tplc="0C090003">
      <w:start w:val="1"/>
      <w:numFmt w:val="bullet"/>
      <w:lvlText w:val="o"/>
      <w:lvlJc w:val="left"/>
      <w:pPr>
        <w:ind w:left="4876" w:hanging="360"/>
      </w:pPr>
      <w:rPr>
        <w:rFonts w:ascii="Courier New" w:hAnsi="Courier New" w:cs="Courier New" w:hint="default"/>
      </w:rPr>
    </w:lvl>
    <w:lvl w:ilvl="5" w:tplc="0C090005">
      <w:start w:val="1"/>
      <w:numFmt w:val="bullet"/>
      <w:lvlText w:val=""/>
      <w:lvlJc w:val="left"/>
      <w:pPr>
        <w:ind w:left="5596" w:hanging="360"/>
      </w:pPr>
      <w:rPr>
        <w:rFonts w:ascii="Wingdings" w:hAnsi="Wingdings" w:hint="default"/>
      </w:rPr>
    </w:lvl>
    <w:lvl w:ilvl="6" w:tplc="0C090001">
      <w:start w:val="1"/>
      <w:numFmt w:val="bullet"/>
      <w:lvlText w:val=""/>
      <w:lvlJc w:val="left"/>
      <w:pPr>
        <w:ind w:left="6316" w:hanging="360"/>
      </w:pPr>
      <w:rPr>
        <w:rFonts w:ascii="Symbol" w:hAnsi="Symbol" w:hint="default"/>
      </w:rPr>
    </w:lvl>
    <w:lvl w:ilvl="7" w:tplc="0C090003">
      <w:start w:val="1"/>
      <w:numFmt w:val="bullet"/>
      <w:lvlText w:val="o"/>
      <w:lvlJc w:val="left"/>
      <w:pPr>
        <w:ind w:left="7036" w:hanging="360"/>
      </w:pPr>
      <w:rPr>
        <w:rFonts w:ascii="Courier New" w:hAnsi="Courier New" w:cs="Courier New" w:hint="default"/>
      </w:rPr>
    </w:lvl>
    <w:lvl w:ilvl="8" w:tplc="0C090005">
      <w:start w:val="1"/>
      <w:numFmt w:val="bullet"/>
      <w:lvlText w:val=""/>
      <w:lvlJc w:val="left"/>
      <w:pPr>
        <w:ind w:left="7756" w:hanging="360"/>
      </w:pPr>
      <w:rPr>
        <w:rFonts w:ascii="Wingdings" w:hAnsi="Wingdings" w:hint="default"/>
      </w:rPr>
    </w:lvl>
  </w:abstractNum>
  <w:abstractNum w:abstractNumId="11" w15:restartNumberingAfterBreak="0">
    <w:nsid w:val="4BDB5FE9"/>
    <w:multiLevelType w:val="hybridMultilevel"/>
    <w:tmpl w:val="885487EC"/>
    <w:lvl w:ilvl="0" w:tplc="0C09001B">
      <w:start w:val="1"/>
      <w:numFmt w:val="lowerRoman"/>
      <w:lvlText w:val="%1."/>
      <w:lvlJc w:val="right"/>
      <w:pPr>
        <w:ind w:left="432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91189C"/>
    <w:multiLevelType w:val="hybridMultilevel"/>
    <w:tmpl w:val="CD0E36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1DA2E64"/>
    <w:multiLevelType w:val="hybridMultilevel"/>
    <w:tmpl w:val="E780C9F4"/>
    <w:lvl w:ilvl="0" w:tplc="C6D2D862">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3D17F8"/>
    <w:multiLevelType w:val="hybridMultilevel"/>
    <w:tmpl w:val="3C7CC310"/>
    <w:lvl w:ilvl="0" w:tplc="639A66B8">
      <w:start w:val="1"/>
      <w:numFmt w:val="lowerLetter"/>
      <w:lvlText w:val="%1."/>
      <w:lvlJc w:val="left"/>
      <w:pPr>
        <w:ind w:left="360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15233CF"/>
    <w:multiLevelType w:val="hybridMultilevel"/>
    <w:tmpl w:val="A156E43E"/>
    <w:lvl w:ilvl="0" w:tplc="1B7A5B96">
      <w:start w:val="1"/>
      <w:numFmt w:val="lowerRoman"/>
      <w:lvlText w:val="%1."/>
      <w:lvlJc w:val="right"/>
      <w:pPr>
        <w:ind w:left="4320"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3107305"/>
    <w:multiLevelType w:val="multilevel"/>
    <w:tmpl w:val="51963F5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D93426E"/>
    <w:multiLevelType w:val="hybridMultilevel"/>
    <w:tmpl w:val="5FFA94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8"/>
  </w:num>
  <w:num w:numId="2">
    <w:abstractNumId w:val="1"/>
  </w:num>
  <w:num w:numId="3">
    <w:abstractNumId w:val="8"/>
  </w:num>
  <w:num w:numId="4">
    <w:abstractNumId w:val="13"/>
  </w:num>
  <w:num w:numId="5">
    <w:abstractNumId w:val="14"/>
  </w:num>
  <w:num w:numId="6">
    <w:abstractNumId w:val="8"/>
  </w:num>
  <w:num w:numId="7">
    <w:abstractNumId w:val="1"/>
  </w:num>
  <w:num w:numId="8">
    <w:abstractNumId w:val="3"/>
  </w:num>
  <w:num w:numId="9">
    <w:abstractNumId w:val="19"/>
  </w:num>
  <w:num w:numId="10">
    <w:abstractNumId w:val="6"/>
  </w:num>
  <w:num w:numId="11">
    <w:abstractNumId w:val="6"/>
  </w:num>
  <w:num w:numId="12">
    <w:abstractNumId w:val="6"/>
  </w:num>
  <w:num w:numId="13">
    <w:abstractNumId w:val="6"/>
  </w:num>
  <w:num w:numId="14">
    <w:abstractNumId w:val="4"/>
  </w:num>
  <w:num w:numId="15">
    <w:abstractNumId w:val="15"/>
  </w:num>
  <w:num w:numId="16">
    <w:abstractNumId w:val="2"/>
  </w:num>
  <w:num w:numId="17">
    <w:abstractNumId w:val="1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1"/>
  </w:num>
  <w:num w:numId="22">
    <w:abstractNumId w:val="0"/>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E9A"/>
    <w:rsid w:val="00001DA8"/>
    <w:rsid w:val="000020C1"/>
    <w:rsid w:val="0002080A"/>
    <w:rsid w:val="0002782F"/>
    <w:rsid w:val="00031486"/>
    <w:rsid w:val="00035BBF"/>
    <w:rsid w:val="00050806"/>
    <w:rsid w:val="000546D9"/>
    <w:rsid w:val="00054E4D"/>
    <w:rsid w:val="00060073"/>
    <w:rsid w:val="000616C6"/>
    <w:rsid w:val="00076F1B"/>
    <w:rsid w:val="000854FD"/>
    <w:rsid w:val="00086936"/>
    <w:rsid w:val="00094D42"/>
    <w:rsid w:val="00097A1A"/>
    <w:rsid w:val="000A407E"/>
    <w:rsid w:val="000B37F5"/>
    <w:rsid w:val="000B4865"/>
    <w:rsid w:val="000C1D20"/>
    <w:rsid w:val="000C3208"/>
    <w:rsid w:val="000D66D6"/>
    <w:rsid w:val="000E52B8"/>
    <w:rsid w:val="000E6399"/>
    <w:rsid w:val="000F741A"/>
    <w:rsid w:val="00102A6A"/>
    <w:rsid w:val="00103CF5"/>
    <w:rsid w:val="00106715"/>
    <w:rsid w:val="00113288"/>
    <w:rsid w:val="00115AEF"/>
    <w:rsid w:val="00116AD7"/>
    <w:rsid w:val="001214BE"/>
    <w:rsid w:val="0013101C"/>
    <w:rsid w:val="001461D6"/>
    <w:rsid w:val="001541EA"/>
    <w:rsid w:val="001562A0"/>
    <w:rsid w:val="001952E7"/>
    <w:rsid w:val="001A64BF"/>
    <w:rsid w:val="001D0CFD"/>
    <w:rsid w:val="001D663E"/>
    <w:rsid w:val="001E1DC0"/>
    <w:rsid w:val="001E548C"/>
    <w:rsid w:val="001E6D20"/>
    <w:rsid w:val="001F29F2"/>
    <w:rsid w:val="001F74E4"/>
    <w:rsid w:val="00203533"/>
    <w:rsid w:val="00204EC4"/>
    <w:rsid w:val="00207FF9"/>
    <w:rsid w:val="00244229"/>
    <w:rsid w:val="00265C21"/>
    <w:rsid w:val="00281BF2"/>
    <w:rsid w:val="0028602A"/>
    <w:rsid w:val="00295342"/>
    <w:rsid w:val="0029768D"/>
    <w:rsid w:val="002A27E6"/>
    <w:rsid w:val="002A66B4"/>
    <w:rsid w:val="002B152C"/>
    <w:rsid w:val="002B5E10"/>
    <w:rsid w:val="002B7E31"/>
    <w:rsid w:val="002C022B"/>
    <w:rsid w:val="002C793D"/>
    <w:rsid w:val="002D5B25"/>
    <w:rsid w:val="002F4F2B"/>
    <w:rsid w:val="003002C0"/>
    <w:rsid w:val="00301144"/>
    <w:rsid w:val="003031C6"/>
    <w:rsid w:val="00304984"/>
    <w:rsid w:val="00306D60"/>
    <w:rsid w:val="00312BF8"/>
    <w:rsid w:val="003148B7"/>
    <w:rsid w:val="003158C3"/>
    <w:rsid w:val="00321953"/>
    <w:rsid w:val="00324FA2"/>
    <w:rsid w:val="003274CD"/>
    <w:rsid w:val="00333501"/>
    <w:rsid w:val="003457C4"/>
    <w:rsid w:val="003470D8"/>
    <w:rsid w:val="0035119D"/>
    <w:rsid w:val="00374741"/>
    <w:rsid w:val="0039344A"/>
    <w:rsid w:val="003B4F12"/>
    <w:rsid w:val="003C6C4F"/>
    <w:rsid w:val="003D2290"/>
    <w:rsid w:val="003E55A3"/>
    <w:rsid w:val="003F2041"/>
    <w:rsid w:val="00402ACC"/>
    <w:rsid w:val="00403943"/>
    <w:rsid w:val="004120EC"/>
    <w:rsid w:val="00423F31"/>
    <w:rsid w:val="00426AF2"/>
    <w:rsid w:val="00431899"/>
    <w:rsid w:val="00482AE8"/>
    <w:rsid w:val="00486804"/>
    <w:rsid w:val="004942F6"/>
    <w:rsid w:val="004B3775"/>
    <w:rsid w:val="004D0BA0"/>
    <w:rsid w:val="004D7A69"/>
    <w:rsid w:val="004E058F"/>
    <w:rsid w:val="004E3B87"/>
    <w:rsid w:val="004F01EC"/>
    <w:rsid w:val="004F6152"/>
    <w:rsid w:val="00501398"/>
    <w:rsid w:val="00505BE6"/>
    <w:rsid w:val="00510921"/>
    <w:rsid w:val="00510AD3"/>
    <w:rsid w:val="00513348"/>
    <w:rsid w:val="00513AD8"/>
    <w:rsid w:val="005204D2"/>
    <w:rsid w:val="00522396"/>
    <w:rsid w:val="00524117"/>
    <w:rsid w:val="005250C5"/>
    <w:rsid w:val="00533B5D"/>
    <w:rsid w:val="00543D5C"/>
    <w:rsid w:val="005661A9"/>
    <w:rsid w:val="00567266"/>
    <w:rsid w:val="00587B3C"/>
    <w:rsid w:val="005A20F6"/>
    <w:rsid w:val="005B6905"/>
    <w:rsid w:val="005D2646"/>
    <w:rsid w:val="005D279B"/>
    <w:rsid w:val="005D2C61"/>
    <w:rsid w:val="005D3655"/>
    <w:rsid w:val="005E4830"/>
    <w:rsid w:val="00622B86"/>
    <w:rsid w:val="00623BA1"/>
    <w:rsid w:val="00627FD4"/>
    <w:rsid w:val="006346BC"/>
    <w:rsid w:val="006454F0"/>
    <w:rsid w:val="0066652A"/>
    <w:rsid w:val="00670721"/>
    <w:rsid w:val="006719C3"/>
    <w:rsid w:val="0067797F"/>
    <w:rsid w:val="00680522"/>
    <w:rsid w:val="00682167"/>
    <w:rsid w:val="00692D96"/>
    <w:rsid w:val="006C42AF"/>
    <w:rsid w:val="006D6E15"/>
    <w:rsid w:val="006E2E69"/>
    <w:rsid w:val="006F04F1"/>
    <w:rsid w:val="006F5EEF"/>
    <w:rsid w:val="0070384E"/>
    <w:rsid w:val="00711D8E"/>
    <w:rsid w:val="00712672"/>
    <w:rsid w:val="00734E3F"/>
    <w:rsid w:val="00736985"/>
    <w:rsid w:val="00745DF5"/>
    <w:rsid w:val="0074692E"/>
    <w:rsid w:val="00750C83"/>
    <w:rsid w:val="007619E0"/>
    <w:rsid w:val="0076250F"/>
    <w:rsid w:val="00766301"/>
    <w:rsid w:val="00780FA5"/>
    <w:rsid w:val="0078566B"/>
    <w:rsid w:val="007B6200"/>
    <w:rsid w:val="007C70DD"/>
    <w:rsid w:val="007D51B3"/>
    <w:rsid w:val="007E556D"/>
    <w:rsid w:val="007E7D68"/>
    <w:rsid w:val="007F3395"/>
    <w:rsid w:val="00801B9F"/>
    <w:rsid w:val="0080204D"/>
    <w:rsid w:val="0080448B"/>
    <w:rsid w:val="008270F0"/>
    <w:rsid w:val="00837427"/>
    <w:rsid w:val="0084191E"/>
    <w:rsid w:val="008475F0"/>
    <w:rsid w:val="00850910"/>
    <w:rsid w:val="008557A7"/>
    <w:rsid w:val="00870928"/>
    <w:rsid w:val="00872AA6"/>
    <w:rsid w:val="0089405C"/>
    <w:rsid w:val="00897FA2"/>
    <w:rsid w:val="008A5AFE"/>
    <w:rsid w:val="008C30D4"/>
    <w:rsid w:val="008C5A0E"/>
    <w:rsid w:val="008D5CDB"/>
    <w:rsid w:val="008F24E7"/>
    <w:rsid w:val="009068E3"/>
    <w:rsid w:val="009118FC"/>
    <w:rsid w:val="00916E1F"/>
    <w:rsid w:val="00920046"/>
    <w:rsid w:val="00922950"/>
    <w:rsid w:val="00923A9D"/>
    <w:rsid w:val="009330B3"/>
    <w:rsid w:val="0094139D"/>
    <w:rsid w:val="00943730"/>
    <w:rsid w:val="00965398"/>
    <w:rsid w:val="009704CA"/>
    <w:rsid w:val="00975CA5"/>
    <w:rsid w:val="009838B0"/>
    <w:rsid w:val="00986590"/>
    <w:rsid w:val="00992C76"/>
    <w:rsid w:val="00995889"/>
    <w:rsid w:val="009969D6"/>
    <w:rsid w:val="009A47F6"/>
    <w:rsid w:val="009B4D3B"/>
    <w:rsid w:val="009B5034"/>
    <w:rsid w:val="009D5259"/>
    <w:rsid w:val="009D7407"/>
    <w:rsid w:val="009E0866"/>
    <w:rsid w:val="009E273C"/>
    <w:rsid w:val="009F1350"/>
    <w:rsid w:val="009F6423"/>
    <w:rsid w:val="00A22962"/>
    <w:rsid w:val="00A238F1"/>
    <w:rsid w:val="00A24A62"/>
    <w:rsid w:val="00A24CBE"/>
    <w:rsid w:val="00A31C9F"/>
    <w:rsid w:val="00A4144F"/>
    <w:rsid w:val="00A51F06"/>
    <w:rsid w:val="00A61B4D"/>
    <w:rsid w:val="00A62777"/>
    <w:rsid w:val="00A62EEB"/>
    <w:rsid w:val="00A80F95"/>
    <w:rsid w:val="00A82C60"/>
    <w:rsid w:val="00A97BF1"/>
    <w:rsid w:val="00AA298A"/>
    <w:rsid w:val="00AA2CB9"/>
    <w:rsid w:val="00AB0D54"/>
    <w:rsid w:val="00AC164A"/>
    <w:rsid w:val="00AD646B"/>
    <w:rsid w:val="00AE12BB"/>
    <w:rsid w:val="00AE448A"/>
    <w:rsid w:val="00AE4E9A"/>
    <w:rsid w:val="00AF2050"/>
    <w:rsid w:val="00B02B2A"/>
    <w:rsid w:val="00B03CA8"/>
    <w:rsid w:val="00B33C0A"/>
    <w:rsid w:val="00B43043"/>
    <w:rsid w:val="00B477F5"/>
    <w:rsid w:val="00B55E19"/>
    <w:rsid w:val="00B635ED"/>
    <w:rsid w:val="00B67F43"/>
    <w:rsid w:val="00B857E1"/>
    <w:rsid w:val="00B90E8A"/>
    <w:rsid w:val="00B94758"/>
    <w:rsid w:val="00BA282A"/>
    <w:rsid w:val="00BA4B6D"/>
    <w:rsid w:val="00BB26C5"/>
    <w:rsid w:val="00BB7958"/>
    <w:rsid w:val="00BC3055"/>
    <w:rsid w:val="00BF4DE6"/>
    <w:rsid w:val="00C06B13"/>
    <w:rsid w:val="00C27D25"/>
    <w:rsid w:val="00C35791"/>
    <w:rsid w:val="00C37087"/>
    <w:rsid w:val="00C42541"/>
    <w:rsid w:val="00C42CDE"/>
    <w:rsid w:val="00C42EB7"/>
    <w:rsid w:val="00C5182A"/>
    <w:rsid w:val="00C60108"/>
    <w:rsid w:val="00C63EE9"/>
    <w:rsid w:val="00C9161E"/>
    <w:rsid w:val="00C92B56"/>
    <w:rsid w:val="00CA16F3"/>
    <w:rsid w:val="00CA37B1"/>
    <w:rsid w:val="00CB11B2"/>
    <w:rsid w:val="00CB1959"/>
    <w:rsid w:val="00CC741B"/>
    <w:rsid w:val="00CC75F5"/>
    <w:rsid w:val="00CD0E4B"/>
    <w:rsid w:val="00CD591A"/>
    <w:rsid w:val="00CE07D0"/>
    <w:rsid w:val="00CE1941"/>
    <w:rsid w:val="00CE3E15"/>
    <w:rsid w:val="00CE43EF"/>
    <w:rsid w:val="00CE4460"/>
    <w:rsid w:val="00CE4C89"/>
    <w:rsid w:val="00CE6D3F"/>
    <w:rsid w:val="00CF07BA"/>
    <w:rsid w:val="00D0296C"/>
    <w:rsid w:val="00D12214"/>
    <w:rsid w:val="00D12B79"/>
    <w:rsid w:val="00D201C4"/>
    <w:rsid w:val="00D32D6F"/>
    <w:rsid w:val="00D37B04"/>
    <w:rsid w:val="00D50E77"/>
    <w:rsid w:val="00D540C6"/>
    <w:rsid w:val="00D64BD1"/>
    <w:rsid w:val="00D71A2E"/>
    <w:rsid w:val="00D77F19"/>
    <w:rsid w:val="00D92254"/>
    <w:rsid w:val="00D97473"/>
    <w:rsid w:val="00DE084C"/>
    <w:rsid w:val="00E00ED1"/>
    <w:rsid w:val="00E14F51"/>
    <w:rsid w:val="00E216F2"/>
    <w:rsid w:val="00E244F2"/>
    <w:rsid w:val="00E351CE"/>
    <w:rsid w:val="00E357B7"/>
    <w:rsid w:val="00E53800"/>
    <w:rsid w:val="00E56E1C"/>
    <w:rsid w:val="00E6081F"/>
    <w:rsid w:val="00E70BA4"/>
    <w:rsid w:val="00E8296D"/>
    <w:rsid w:val="00E8457B"/>
    <w:rsid w:val="00E93E1A"/>
    <w:rsid w:val="00E97DA4"/>
    <w:rsid w:val="00EA04B2"/>
    <w:rsid w:val="00EA20F3"/>
    <w:rsid w:val="00EB106E"/>
    <w:rsid w:val="00EB191A"/>
    <w:rsid w:val="00EC457C"/>
    <w:rsid w:val="00ED2831"/>
    <w:rsid w:val="00ED43D1"/>
    <w:rsid w:val="00ED521C"/>
    <w:rsid w:val="00EE4EE1"/>
    <w:rsid w:val="00EF4574"/>
    <w:rsid w:val="00F1090B"/>
    <w:rsid w:val="00F20076"/>
    <w:rsid w:val="00F2542C"/>
    <w:rsid w:val="00F25A93"/>
    <w:rsid w:val="00F2684E"/>
    <w:rsid w:val="00F50B3F"/>
    <w:rsid w:val="00F50BD7"/>
    <w:rsid w:val="00F5404C"/>
    <w:rsid w:val="00F67C6A"/>
    <w:rsid w:val="00F729EF"/>
    <w:rsid w:val="00F77CAE"/>
    <w:rsid w:val="00F82271"/>
    <w:rsid w:val="00F83428"/>
    <w:rsid w:val="00F917FA"/>
    <w:rsid w:val="00F96BB9"/>
    <w:rsid w:val="00FD507A"/>
    <w:rsid w:val="00FE6D51"/>
    <w:rsid w:val="00FE6F2A"/>
    <w:rsid w:val="00FF7D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1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6C4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03CF5"/>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locked/>
    <w:rsid w:val="00FD507A"/>
    <w:pPr>
      <w:suppressAutoHyphens w:val="0"/>
      <w:spacing w:before="0" w:after="200" w:line="276" w:lineRule="auto"/>
      <w:ind w:left="720"/>
      <w:contextualSpacing/>
    </w:pPr>
    <w:rPr>
      <w:color w:val="auto"/>
      <w:lang w:val="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link w:val="ListParagraph"/>
    <w:uiPriority w:val="34"/>
    <w:qFormat/>
    <w:locked/>
    <w:rsid w:val="00FD507A"/>
  </w:style>
  <w:style w:type="paragraph" w:styleId="NormalWeb">
    <w:name w:val="Normal (Web)"/>
    <w:basedOn w:val="Normal"/>
    <w:uiPriority w:val="99"/>
    <w:unhideWhenUsed/>
    <w:rsid w:val="00995889"/>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character" w:customStyle="1" w:styleId="Bullet1Char">
    <w:name w:val="Bullet 1 Char"/>
    <w:link w:val="Bullet1"/>
    <w:locked/>
    <w:rsid w:val="00CD591A"/>
    <w:rPr>
      <w:color w:val="495965" w:themeColor="text2"/>
      <w:lang w:val="en-GB"/>
    </w:rPr>
  </w:style>
  <w:style w:type="character" w:customStyle="1" w:styleId="paragraphChar">
    <w:name w:val="paragraph Char"/>
    <w:aliases w:val="a Char"/>
    <w:link w:val="paragraph"/>
    <w:locked/>
    <w:rsid w:val="003D2290"/>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3D2290"/>
    <w:pPr>
      <w:tabs>
        <w:tab w:val="right" w:pos="1531"/>
      </w:tabs>
      <w:suppressAutoHyphens w:val="0"/>
      <w:spacing w:before="40" w:after="0" w:line="240" w:lineRule="auto"/>
      <w:ind w:left="1644" w:hanging="1644"/>
    </w:pPr>
    <w:rPr>
      <w:rFonts w:ascii="Times New Roman" w:eastAsia="Times New Roman" w:hAnsi="Times New Roman" w:cs="Times New Roman"/>
      <w:color w:val="auto"/>
      <w:szCs w:val="20"/>
      <w:lang w:val="en-AU" w:eastAsia="en-AU"/>
    </w:rPr>
  </w:style>
  <w:style w:type="paragraph" w:styleId="EndnoteText">
    <w:name w:val="endnote text"/>
    <w:basedOn w:val="Normal"/>
    <w:link w:val="EndnoteTextChar"/>
    <w:uiPriority w:val="99"/>
    <w:semiHidden/>
    <w:unhideWhenUsed/>
    <w:rsid w:val="00BC305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3055"/>
    <w:rPr>
      <w:color w:val="495965" w:themeColor="text2"/>
      <w:sz w:val="20"/>
      <w:szCs w:val="20"/>
      <w:lang w:val="en-GB"/>
    </w:rPr>
  </w:style>
  <w:style w:type="character" w:styleId="EndnoteReference">
    <w:name w:val="endnote reference"/>
    <w:basedOn w:val="DefaultParagraphFont"/>
    <w:uiPriority w:val="99"/>
    <w:semiHidden/>
    <w:unhideWhenUsed/>
    <w:rsid w:val="00BC3055"/>
    <w:rPr>
      <w:vertAlign w:val="superscript"/>
    </w:rPr>
  </w:style>
  <w:style w:type="table" w:styleId="GridTable1Light-Accent1">
    <w:name w:val="Grid Table 1 Light Accent 1"/>
    <w:basedOn w:val="TableNormal"/>
    <w:uiPriority w:val="46"/>
    <w:locked/>
    <w:rsid w:val="009118FC"/>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2011">
      <w:bodyDiv w:val="1"/>
      <w:marLeft w:val="0"/>
      <w:marRight w:val="0"/>
      <w:marTop w:val="0"/>
      <w:marBottom w:val="0"/>
      <w:divBdr>
        <w:top w:val="none" w:sz="0" w:space="0" w:color="auto"/>
        <w:left w:val="none" w:sz="0" w:space="0" w:color="auto"/>
        <w:bottom w:val="none" w:sz="0" w:space="0" w:color="auto"/>
        <w:right w:val="none" w:sz="0" w:space="0" w:color="auto"/>
      </w:divBdr>
    </w:div>
    <w:div w:id="186986396">
      <w:bodyDiv w:val="1"/>
      <w:marLeft w:val="0"/>
      <w:marRight w:val="0"/>
      <w:marTop w:val="0"/>
      <w:marBottom w:val="0"/>
      <w:divBdr>
        <w:top w:val="none" w:sz="0" w:space="0" w:color="auto"/>
        <w:left w:val="none" w:sz="0" w:space="0" w:color="auto"/>
        <w:bottom w:val="none" w:sz="0" w:space="0" w:color="auto"/>
        <w:right w:val="none" w:sz="0" w:space="0" w:color="auto"/>
      </w:divBdr>
    </w:div>
    <w:div w:id="196043014">
      <w:bodyDiv w:val="1"/>
      <w:marLeft w:val="0"/>
      <w:marRight w:val="0"/>
      <w:marTop w:val="0"/>
      <w:marBottom w:val="0"/>
      <w:divBdr>
        <w:top w:val="none" w:sz="0" w:space="0" w:color="auto"/>
        <w:left w:val="none" w:sz="0" w:space="0" w:color="auto"/>
        <w:bottom w:val="none" w:sz="0" w:space="0" w:color="auto"/>
        <w:right w:val="none" w:sz="0" w:space="0" w:color="auto"/>
      </w:divBdr>
    </w:div>
    <w:div w:id="200095970">
      <w:bodyDiv w:val="1"/>
      <w:marLeft w:val="0"/>
      <w:marRight w:val="0"/>
      <w:marTop w:val="0"/>
      <w:marBottom w:val="0"/>
      <w:divBdr>
        <w:top w:val="none" w:sz="0" w:space="0" w:color="auto"/>
        <w:left w:val="none" w:sz="0" w:space="0" w:color="auto"/>
        <w:bottom w:val="none" w:sz="0" w:space="0" w:color="auto"/>
        <w:right w:val="none" w:sz="0" w:space="0" w:color="auto"/>
      </w:divBdr>
    </w:div>
    <w:div w:id="244657937">
      <w:bodyDiv w:val="1"/>
      <w:marLeft w:val="0"/>
      <w:marRight w:val="0"/>
      <w:marTop w:val="0"/>
      <w:marBottom w:val="0"/>
      <w:divBdr>
        <w:top w:val="none" w:sz="0" w:space="0" w:color="auto"/>
        <w:left w:val="none" w:sz="0" w:space="0" w:color="auto"/>
        <w:bottom w:val="none" w:sz="0" w:space="0" w:color="auto"/>
        <w:right w:val="none" w:sz="0" w:space="0" w:color="auto"/>
      </w:divBdr>
    </w:div>
    <w:div w:id="325011467">
      <w:bodyDiv w:val="1"/>
      <w:marLeft w:val="0"/>
      <w:marRight w:val="0"/>
      <w:marTop w:val="0"/>
      <w:marBottom w:val="0"/>
      <w:divBdr>
        <w:top w:val="none" w:sz="0" w:space="0" w:color="auto"/>
        <w:left w:val="none" w:sz="0" w:space="0" w:color="auto"/>
        <w:bottom w:val="none" w:sz="0" w:space="0" w:color="auto"/>
        <w:right w:val="none" w:sz="0" w:space="0" w:color="auto"/>
      </w:divBdr>
    </w:div>
    <w:div w:id="325790489">
      <w:bodyDiv w:val="1"/>
      <w:marLeft w:val="0"/>
      <w:marRight w:val="0"/>
      <w:marTop w:val="0"/>
      <w:marBottom w:val="0"/>
      <w:divBdr>
        <w:top w:val="none" w:sz="0" w:space="0" w:color="auto"/>
        <w:left w:val="none" w:sz="0" w:space="0" w:color="auto"/>
        <w:bottom w:val="none" w:sz="0" w:space="0" w:color="auto"/>
        <w:right w:val="none" w:sz="0" w:space="0" w:color="auto"/>
      </w:divBdr>
    </w:div>
    <w:div w:id="327565967">
      <w:bodyDiv w:val="1"/>
      <w:marLeft w:val="0"/>
      <w:marRight w:val="0"/>
      <w:marTop w:val="0"/>
      <w:marBottom w:val="0"/>
      <w:divBdr>
        <w:top w:val="none" w:sz="0" w:space="0" w:color="auto"/>
        <w:left w:val="none" w:sz="0" w:space="0" w:color="auto"/>
        <w:bottom w:val="none" w:sz="0" w:space="0" w:color="auto"/>
        <w:right w:val="none" w:sz="0" w:space="0" w:color="auto"/>
      </w:divBdr>
    </w:div>
    <w:div w:id="352264474">
      <w:bodyDiv w:val="1"/>
      <w:marLeft w:val="0"/>
      <w:marRight w:val="0"/>
      <w:marTop w:val="0"/>
      <w:marBottom w:val="0"/>
      <w:divBdr>
        <w:top w:val="none" w:sz="0" w:space="0" w:color="auto"/>
        <w:left w:val="none" w:sz="0" w:space="0" w:color="auto"/>
        <w:bottom w:val="none" w:sz="0" w:space="0" w:color="auto"/>
        <w:right w:val="none" w:sz="0" w:space="0" w:color="auto"/>
      </w:divBdr>
    </w:div>
    <w:div w:id="392849115">
      <w:bodyDiv w:val="1"/>
      <w:marLeft w:val="0"/>
      <w:marRight w:val="0"/>
      <w:marTop w:val="0"/>
      <w:marBottom w:val="0"/>
      <w:divBdr>
        <w:top w:val="none" w:sz="0" w:space="0" w:color="auto"/>
        <w:left w:val="none" w:sz="0" w:space="0" w:color="auto"/>
        <w:bottom w:val="none" w:sz="0" w:space="0" w:color="auto"/>
        <w:right w:val="none" w:sz="0" w:space="0" w:color="auto"/>
      </w:divBdr>
    </w:div>
    <w:div w:id="453257129">
      <w:bodyDiv w:val="1"/>
      <w:marLeft w:val="0"/>
      <w:marRight w:val="0"/>
      <w:marTop w:val="0"/>
      <w:marBottom w:val="0"/>
      <w:divBdr>
        <w:top w:val="none" w:sz="0" w:space="0" w:color="auto"/>
        <w:left w:val="none" w:sz="0" w:space="0" w:color="auto"/>
        <w:bottom w:val="none" w:sz="0" w:space="0" w:color="auto"/>
        <w:right w:val="none" w:sz="0" w:space="0" w:color="auto"/>
      </w:divBdr>
    </w:div>
    <w:div w:id="603655380">
      <w:bodyDiv w:val="1"/>
      <w:marLeft w:val="0"/>
      <w:marRight w:val="0"/>
      <w:marTop w:val="0"/>
      <w:marBottom w:val="0"/>
      <w:divBdr>
        <w:top w:val="none" w:sz="0" w:space="0" w:color="auto"/>
        <w:left w:val="none" w:sz="0" w:space="0" w:color="auto"/>
        <w:bottom w:val="none" w:sz="0" w:space="0" w:color="auto"/>
        <w:right w:val="none" w:sz="0" w:space="0" w:color="auto"/>
      </w:divBdr>
    </w:div>
    <w:div w:id="751700834">
      <w:bodyDiv w:val="1"/>
      <w:marLeft w:val="0"/>
      <w:marRight w:val="0"/>
      <w:marTop w:val="0"/>
      <w:marBottom w:val="0"/>
      <w:divBdr>
        <w:top w:val="none" w:sz="0" w:space="0" w:color="auto"/>
        <w:left w:val="none" w:sz="0" w:space="0" w:color="auto"/>
        <w:bottom w:val="none" w:sz="0" w:space="0" w:color="auto"/>
        <w:right w:val="none" w:sz="0" w:space="0" w:color="auto"/>
      </w:divBdr>
    </w:div>
    <w:div w:id="759448490">
      <w:bodyDiv w:val="1"/>
      <w:marLeft w:val="0"/>
      <w:marRight w:val="0"/>
      <w:marTop w:val="0"/>
      <w:marBottom w:val="0"/>
      <w:divBdr>
        <w:top w:val="none" w:sz="0" w:space="0" w:color="auto"/>
        <w:left w:val="none" w:sz="0" w:space="0" w:color="auto"/>
        <w:bottom w:val="none" w:sz="0" w:space="0" w:color="auto"/>
        <w:right w:val="none" w:sz="0" w:space="0" w:color="auto"/>
      </w:divBdr>
    </w:div>
    <w:div w:id="868371100">
      <w:bodyDiv w:val="1"/>
      <w:marLeft w:val="0"/>
      <w:marRight w:val="0"/>
      <w:marTop w:val="0"/>
      <w:marBottom w:val="0"/>
      <w:divBdr>
        <w:top w:val="none" w:sz="0" w:space="0" w:color="auto"/>
        <w:left w:val="none" w:sz="0" w:space="0" w:color="auto"/>
        <w:bottom w:val="none" w:sz="0" w:space="0" w:color="auto"/>
        <w:right w:val="none" w:sz="0" w:space="0" w:color="auto"/>
      </w:divBdr>
    </w:div>
    <w:div w:id="956763375">
      <w:bodyDiv w:val="1"/>
      <w:marLeft w:val="0"/>
      <w:marRight w:val="0"/>
      <w:marTop w:val="0"/>
      <w:marBottom w:val="0"/>
      <w:divBdr>
        <w:top w:val="none" w:sz="0" w:space="0" w:color="auto"/>
        <w:left w:val="none" w:sz="0" w:space="0" w:color="auto"/>
        <w:bottom w:val="none" w:sz="0" w:space="0" w:color="auto"/>
        <w:right w:val="none" w:sz="0" w:space="0" w:color="auto"/>
      </w:divBdr>
    </w:div>
    <w:div w:id="1015422988">
      <w:bodyDiv w:val="1"/>
      <w:marLeft w:val="0"/>
      <w:marRight w:val="0"/>
      <w:marTop w:val="0"/>
      <w:marBottom w:val="0"/>
      <w:divBdr>
        <w:top w:val="none" w:sz="0" w:space="0" w:color="auto"/>
        <w:left w:val="none" w:sz="0" w:space="0" w:color="auto"/>
        <w:bottom w:val="none" w:sz="0" w:space="0" w:color="auto"/>
        <w:right w:val="none" w:sz="0" w:space="0" w:color="auto"/>
      </w:divBdr>
    </w:div>
    <w:div w:id="1272974286">
      <w:bodyDiv w:val="1"/>
      <w:marLeft w:val="0"/>
      <w:marRight w:val="0"/>
      <w:marTop w:val="0"/>
      <w:marBottom w:val="0"/>
      <w:divBdr>
        <w:top w:val="none" w:sz="0" w:space="0" w:color="auto"/>
        <w:left w:val="none" w:sz="0" w:space="0" w:color="auto"/>
        <w:bottom w:val="none" w:sz="0" w:space="0" w:color="auto"/>
        <w:right w:val="none" w:sz="0" w:space="0" w:color="auto"/>
      </w:divBdr>
    </w:div>
    <w:div w:id="1303149433">
      <w:bodyDiv w:val="1"/>
      <w:marLeft w:val="0"/>
      <w:marRight w:val="0"/>
      <w:marTop w:val="0"/>
      <w:marBottom w:val="0"/>
      <w:divBdr>
        <w:top w:val="none" w:sz="0" w:space="0" w:color="auto"/>
        <w:left w:val="none" w:sz="0" w:space="0" w:color="auto"/>
        <w:bottom w:val="none" w:sz="0" w:space="0" w:color="auto"/>
        <w:right w:val="none" w:sz="0" w:space="0" w:color="auto"/>
      </w:divBdr>
    </w:div>
    <w:div w:id="1331561251">
      <w:bodyDiv w:val="1"/>
      <w:marLeft w:val="0"/>
      <w:marRight w:val="0"/>
      <w:marTop w:val="0"/>
      <w:marBottom w:val="0"/>
      <w:divBdr>
        <w:top w:val="none" w:sz="0" w:space="0" w:color="auto"/>
        <w:left w:val="none" w:sz="0" w:space="0" w:color="auto"/>
        <w:bottom w:val="none" w:sz="0" w:space="0" w:color="auto"/>
        <w:right w:val="none" w:sz="0" w:space="0" w:color="auto"/>
      </w:divBdr>
    </w:div>
    <w:div w:id="1334722465">
      <w:bodyDiv w:val="1"/>
      <w:marLeft w:val="0"/>
      <w:marRight w:val="0"/>
      <w:marTop w:val="0"/>
      <w:marBottom w:val="0"/>
      <w:divBdr>
        <w:top w:val="none" w:sz="0" w:space="0" w:color="auto"/>
        <w:left w:val="none" w:sz="0" w:space="0" w:color="auto"/>
        <w:bottom w:val="none" w:sz="0" w:space="0" w:color="auto"/>
        <w:right w:val="none" w:sz="0" w:space="0" w:color="auto"/>
      </w:divBdr>
    </w:div>
    <w:div w:id="1366565738">
      <w:bodyDiv w:val="1"/>
      <w:marLeft w:val="0"/>
      <w:marRight w:val="0"/>
      <w:marTop w:val="0"/>
      <w:marBottom w:val="0"/>
      <w:divBdr>
        <w:top w:val="none" w:sz="0" w:space="0" w:color="auto"/>
        <w:left w:val="none" w:sz="0" w:space="0" w:color="auto"/>
        <w:bottom w:val="none" w:sz="0" w:space="0" w:color="auto"/>
        <w:right w:val="none" w:sz="0" w:space="0" w:color="auto"/>
      </w:divBdr>
    </w:div>
    <w:div w:id="1387296436">
      <w:bodyDiv w:val="1"/>
      <w:marLeft w:val="0"/>
      <w:marRight w:val="0"/>
      <w:marTop w:val="0"/>
      <w:marBottom w:val="0"/>
      <w:divBdr>
        <w:top w:val="none" w:sz="0" w:space="0" w:color="auto"/>
        <w:left w:val="none" w:sz="0" w:space="0" w:color="auto"/>
        <w:bottom w:val="none" w:sz="0" w:space="0" w:color="auto"/>
        <w:right w:val="none" w:sz="0" w:space="0" w:color="auto"/>
      </w:divBdr>
    </w:div>
    <w:div w:id="1401513714">
      <w:bodyDiv w:val="1"/>
      <w:marLeft w:val="0"/>
      <w:marRight w:val="0"/>
      <w:marTop w:val="0"/>
      <w:marBottom w:val="0"/>
      <w:divBdr>
        <w:top w:val="none" w:sz="0" w:space="0" w:color="auto"/>
        <w:left w:val="none" w:sz="0" w:space="0" w:color="auto"/>
        <w:bottom w:val="none" w:sz="0" w:space="0" w:color="auto"/>
        <w:right w:val="none" w:sz="0" w:space="0" w:color="auto"/>
      </w:divBdr>
    </w:div>
    <w:div w:id="1408915969">
      <w:bodyDiv w:val="1"/>
      <w:marLeft w:val="0"/>
      <w:marRight w:val="0"/>
      <w:marTop w:val="0"/>
      <w:marBottom w:val="0"/>
      <w:divBdr>
        <w:top w:val="none" w:sz="0" w:space="0" w:color="auto"/>
        <w:left w:val="none" w:sz="0" w:space="0" w:color="auto"/>
        <w:bottom w:val="none" w:sz="0" w:space="0" w:color="auto"/>
        <w:right w:val="none" w:sz="0" w:space="0" w:color="auto"/>
      </w:divBdr>
    </w:div>
    <w:div w:id="1530291133">
      <w:bodyDiv w:val="1"/>
      <w:marLeft w:val="0"/>
      <w:marRight w:val="0"/>
      <w:marTop w:val="0"/>
      <w:marBottom w:val="0"/>
      <w:divBdr>
        <w:top w:val="none" w:sz="0" w:space="0" w:color="auto"/>
        <w:left w:val="none" w:sz="0" w:space="0" w:color="auto"/>
        <w:bottom w:val="none" w:sz="0" w:space="0" w:color="auto"/>
        <w:right w:val="none" w:sz="0" w:space="0" w:color="auto"/>
      </w:divBdr>
    </w:div>
    <w:div w:id="1628320443">
      <w:bodyDiv w:val="1"/>
      <w:marLeft w:val="0"/>
      <w:marRight w:val="0"/>
      <w:marTop w:val="0"/>
      <w:marBottom w:val="0"/>
      <w:divBdr>
        <w:top w:val="none" w:sz="0" w:space="0" w:color="auto"/>
        <w:left w:val="none" w:sz="0" w:space="0" w:color="auto"/>
        <w:bottom w:val="none" w:sz="0" w:space="0" w:color="auto"/>
        <w:right w:val="none" w:sz="0" w:space="0" w:color="auto"/>
      </w:divBdr>
    </w:div>
    <w:div w:id="1664777949">
      <w:bodyDiv w:val="1"/>
      <w:marLeft w:val="0"/>
      <w:marRight w:val="0"/>
      <w:marTop w:val="0"/>
      <w:marBottom w:val="0"/>
      <w:divBdr>
        <w:top w:val="none" w:sz="0" w:space="0" w:color="auto"/>
        <w:left w:val="none" w:sz="0" w:space="0" w:color="auto"/>
        <w:bottom w:val="none" w:sz="0" w:space="0" w:color="auto"/>
        <w:right w:val="none" w:sz="0" w:space="0" w:color="auto"/>
      </w:divBdr>
    </w:div>
    <w:div w:id="1666470975">
      <w:bodyDiv w:val="1"/>
      <w:marLeft w:val="0"/>
      <w:marRight w:val="0"/>
      <w:marTop w:val="0"/>
      <w:marBottom w:val="0"/>
      <w:divBdr>
        <w:top w:val="none" w:sz="0" w:space="0" w:color="auto"/>
        <w:left w:val="none" w:sz="0" w:space="0" w:color="auto"/>
        <w:bottom w:val="none" w:sz="0" w:space="0" w:color="auto"/>
        <w:right w:val="none" w:sz="0" w:space="0" w:color="auto"/>
      </w:divBdr>
    </w:div>
    <w:div w:id="1797136259">
      <w:bodyDiv w:val="1"/>
      <w:marLeft w:val="0"/>
      <w:marRight w:val="0"/>
      <w:marTop w:val="0"/>
      <w:marBottom w:val="0"/>
      <w:divBdr>
        <w:top w:val="none" w:sz="0" w:space="0" w:color="auto"/>
        <w:left w:val="none" w:sz="0" w:space="0" w:color="auto"/>
        <w:bottom w:val="none" w:sz="0" w:space="0" w:color="auto"/>
        <w:right w:val="none" w:sz="0" w:space="0" w:color="auto"/>
      </w:divBdr>
    </w:div>
    <w:div w:id="1822380255">
      <w:bodyDiv w:val="1"/>
      <w:marLeft w:val="0"/>
      <w:marRight w:val="0"/>
      <w:marTop w:val="0"/>
      <w:marBottom w:val="0"/>
      <w:divBdr>
        <w:top w:val="none" w:sz="0" w:space="0" w:color="auto"/>
        <w:left w:val="none" w:sz="0" w:space="0" w:color="auto"/>
        <w:bottom w:val="none" w:sz="0" w:space="0" w:color="auto"/>
        <w:right w:val="none" w:sz="0" w:space="0" w:color="auto"/>
      </w:divBdr>
    </w:div>
    <w:div w:id="1867912316">
      <w:bodyDiv w:val="1"/>
      <w:marLeft w:val="0"/>
      <w:marRight w:val="0"/>
      <w:marTop w:val="0"/>
      <w:marBottom w:val="0"/>
      <w:divBdr>
        <w:top w:val="none" w:sz="0" w:space="0" w:color="auto"/>
        <w:left w:val="none" w:sz="0" w:space="0" w:color="auto"/>
        <w:bottom w:val="none" w:sz="0" w:space="0" w:color="auto"/>
        <w:right w:val="none" w:sz="0" w:space="0" w:color="auto"/>
      </w:divBdr>
    </w:div>
    <w:div w:id="1894190868">
      <w:bodyDiv w:val="1"/>
      <w:marLeft w:val="0"/>
      <w:marRight w:val="0"/>
      <w:marTop w:val="0"/>
      <w:marBottom w:val="0"/>
      <w:divBdr>
        <w:top w:val="none" w:sz="0" w:space="0" w:color="auto"/>
        <w:left w:val="none" w:sz="0" w:space="0" w:color="auto"/>
        <w:bottom w:val="none" w:sz="0" w:space="0" w:color="auto"/>
        <w:right w:val="none" w:sz="0" w:space="0" w:color="auto"/>
      </w:divBdr>
    </w:div>
    <w:div w:id="1962881300">
      <w:bodyDiv w:val="1"/>
      <w:marLeft w:val="0"/>
      <w:marRight w:val="0"/>
      <w:marTop w:val="0"/>
      <w:marBottom w:val="0"/>
      <w:divBdr>
        <w:top w:val="none" w:sz="0" w:space="0" w:color="auto"/>
        <w:left w:val="none" w:sz="0" w:space="0" w:color="auto"/>
        <w:bottom w:val="none" w:sz="0" w:space="0" w:color="auto"/>
        <w:right w:val="none" w:sz="0" w:space="0" w:color="auto"/>
      </w:divBdr>
    </w:div>
    <w:div w:id="2066947164">
      <w:bodyDiv w:val="1"/>
      <w:marLeft w:val="0"/>
      <w:marRight w:val="0"/>
      <w:marTop w:val="0"/>
      <w:marBottom w:val="0"/>
      <w:divBdr>
        <w:top w:val="none" w:sz="0" w:space="0" w:color="auto"/>
        <w:left w:val="none" w:sz="0" w:space="0" w:color="auto"/>
        <w:bottom w:val="none" w:sz="0" w:space="0" w:color="auto"/>
        <w:right w:val="none" w:sz="0" w:space="0" w:color="auto"/>
      </w:divBdr>
    </w:div>
    <w:div w:id="2105686687">
      <w:bodyDiv w:val="1"/>
      <w:marLeft w:val="0"/>
      <w:marRight w:val="0"/>
      <w:marTop w:val="0"/>
      <w:marBottom w:val="0"/>
      <w:divBdr>
        <w:top w:val="none" w:sz="0" w:space="0" w:color="auto"/>
        <w:left w:val="none" w:sz="0" w:space="0" w:color="auto"/>
        <w:bottom w:val="none" w:sz="0" w:space="0" w:color="auto"/>
        <w:right w:val="none" w:sz="0" w:space="0" w:color="auto"/>
      </w:divBdr>
    </w:div>
    <w:div w:id="2119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arrangements@dfat.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reignarrangements@dfat.gov.au" TargetMode="External"/><Relationship Id="rId4" Type="http://schemas.openxmlformats.org/officeDocument/2006/relationships/settings" Target="settings.xml"/><Relationship Id="rId9" Type="http://schemas.openxmlformats.org/officeDocument/2006/relationships/hyperlink" Target="mailto:foreignarrangements@dfat.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97CD-E44C-439E-9CFA-3CEBDA9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9144</Characters>
  <Application>Microsoft Office Word</Application>
  <DocSecurity>0</DocSecurity>
  <Lines>147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2021-06-09T06:46:00Z</dcterms:created>
  <dcterms:modified xsi:type="dcterms:W3CDTF">2021-06-09T06:47:00Z</dcterms:modified>
  <cp:category/>
</cp:coreProperties>
</file>