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5471" w14:textId="55CC222F" w:rsidR="007619E0" w:rsidRDefault="00115AEF" w:rsidP="007619E0">
      <w:pPr>
        <w:pStyle w:val="Title"/>
        <w:spacing w:before="120" w:line="240" w:lineRule="auto"/>
        <w:ind w:left="-709" w:right="-709"/>
        <w:contextualSpacing w:val="0"/>
        <w:jc w:val="center"/>
        <w:rPr>
          <w:sz w:val="32"/>
          <w:szCs w:val="32"/>
        </w:rPr>
      </w:pPr>
      <w:r w:rsidRPr="000C1D20">
        <w:rPr>
          <w:sz w:val="2"/>
          <w:szCs w:val="32"/>
        </w:rPr>
        <w:br/>
      </w:r>
      <w:bookmarkStart w:id="0" w:name="_Hlk56093685"/>
      <w:r w:rsidR="007619E0" w:rsidRPr="00A238F1">
        <w:rPr>
          <w:sz w:val="32"/>
          <w:szCs w:val="32"/>
        </w:rPr>
        <w:t xml:space="preserve">Australia’s Foreign Relations </w:t>
      </w:r>
    </w:p>
    <w:p w14:paraId="21F837D6" w14:textId="73F91133" w:rsidR="007619E0" w:rsidRPr="00A238F1" w:rsidRDefault="007619E0" w:rsidP="007619E0">
      <w:pPr>
        <w:pStyle w:val="Title"/>
        <w:spacing w:line="240" w:lineRule="auto"/>
        <w:ind w:left="-709" w:right="-709"/>
        <w:contextualSpacing w:val="0"/>
        <w:jc w:val="center"/>
        <w:rPr>
          <w:sz w:val="32"/>
          <w:szCs w:val="32"/>
        </w:rPr>
      </w:pPr>
      <w:r w:rsidRPr="00A238F1">
        <w:rPr>
          <w:sz w:val="32"/>
          <w:szCs w:val="32"/>
        </w:rPr>
        <w:t xml:space="preserve">(State and Territory Arrangements) </w:t>
      </w:r>
      <w:r w:rsidR="00792F50">
        <w:rPr>
          <w:sz w:val="32"/>
          <w:szCs w:val="32"/>
        </w:rPr>
        <w:t xml:space="preserve">Act </w:t>
      </w:r>
      <w:r>
        <w:rPr>
          <w:sz w:val="32"/>
          <w:szCs w:val="32"/>
        </w:rPr>
        <w:t>2020</w:t>
      </w:r>
    </w:p>
    <w:p w14:paraId="4A82DCD7" w14:textId="77777777" w:rsidR="007619E0" w:rsidRPr="00A238F1" w:rsidRDefault="007619E0" w:rsidP="007619E0">
      <w:pPr>
        <w:pStyle w:val="Subtitle"/>
        <w:spacing w:before="0" w:after="0" w:line="240" w:lineRule="auto"/>
        <w:contextualSpacing w:val="0"/>
        <w:jc w:val="center"/>
        <w:rPr>
          <w:sz w:val="32"/>
          <w:szCs w:val="32"/>
        </w:rPr>
      </w:pPr>
      <w:r>
        <w:rPr>
          <w:sz w:val="32"/>
          <w:szCs w:val="32"/>
        </w:rPr>
        <w:t xml:space="preserve">FACT SHEET </w:t>
      </w:r>
      <w:r w:rsidR="00B80CE6">
        <w:rPr>
          <w:sz w:val="32"/>
          <w:szCs w:val="32"/>
        </w:rPr>
        <w:t>6</w:t>
      </w:r>
      <w:r>
        <w:rPr>
          <w:sz w:val="32"/>
          <w:szCs w:val="32"/>
        </w:rPr>
        <w:t xml:space="preserve"> – </w:t>
      </w:r>
      <w:r w:rsidR="00B80CE6">
        <w:rPr>
          <w:sz w:val="32"/>
          <w:szCs w:val="32"/>
        </w:rPr>
        <w:t>COMPARATIVE SCHEMES</w:t>
      </w:r>
      <w:r>
        <w:rPr>
          <w:rStyle w:val="EndnoteReference"/>
          <w:sz w:val="32"/>
          <w:szCs w:val="32"/>
        </w:rPr>
        <w:endnoteReference w:id="1"/>
      </w:r>
    </w:p>
    <w:p w14:paraId="195F049E" w14:textId="0CEBAA62" w:rsidR="007619E0" w:rsidRPr="00F722E2" w:rsidRDefault="007619E0" w:rsidP="00F722E2">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r w:rsidRPr="00F722E2">
        <w:rPr>
          <w:b/>
          <w:bCs/>
          <w:color w:val="auto"/>
        </w:rPr>
        <w:t xml:space="preserve">Australia’s Foreign Relations (State and Territory Arrangements) </w:t>
      </w:r>
      <w:r w:rsidR="00792F50" w:rsidRPr="00F722E2">
        <w:rPr>
          <w:b/>
          <w:bCs/>
          <w:color w:val="auto"/>
        </w:rPr>
        <w:t xml:space="preserve">Act </w:t>
      </w:r>
      <w:r w:rsidRPr="00F722E2">
        <w:rPr>
          <w:b/>
          <w:bCs/>
          <w:color w:val="auto"/>
        </w:rPr>
        <w:t xml:space="preserve">2020 (the </w:t>
      </w:r>
      <w:r w:rsidR="00792F50" w:rsidRPr="00F722E2">
        <w:rPr>
          <w:b/>
          <w:bCs/>
          <w:color w:val="auto"/>
        </w:rPr>
        <w:t>Act</w:t>
      </w:r>
      <w:r w:rsidRPr="00F722E2">
        <w:rPr>
          <w:b/>
          <w:bCs/>
          <w:color w:val="auto"/>
        </w:rPr>
        <w:t>) fosters a systematic and consistent approach to foreign engagement across all levels of Australian government</w:t>
      </w:r>
      <w:r w:rsidR="008A39E7" w:rsidRPr="00F722E2">
        <w:rPr>
          <w:b/>
          <w:bCs/>
          <w:color w:val="auto"/>
        </w:rPr>
        <w:t xml:space="preserve">. It creates a </w:t>
      </w:r>
      <w:r w:rsidRPr="00F722E2">
        <w:rPr>
          <w:b/>
          <w:bCs/>
          <w:color w:val="auto"/>
        </w:rPr>
        <w:t xml:space="preserve">scheme to ensure that arrangements between State or Territory governments and foreign government entities do not adversely affect Australia’s foreign relations and are not inconsistent with Australia’s foreign policy.  </w:t>
      </w:r>
    </w:p>
    <w:p w14:paraId="6D40D313" w14:textId="77777777" w:rsidR="007619E0" w:rsidRPr="00F722E2" w:rsidRDefault="007619E0" w:rsidP="00A63400">
      <w:pPr>
        <w:pStyle w:val="IntroPara"/>
        <w:jc w:val="center"/>
        <w:rPr>
          <w:color w:val="auto"/>
        </w:rPr>
      </w:pPr>
      <w:r w:rsidRPr="00F722E2">
        <w:rPr>
          <w:color w:val="auto"/>
        </w:rPr>
        <w:t xml:space="preserve">This Fact Sheet should be read with ‘Fact Sheet 1–Overview’ </w:t>
      </w:r>
    </w:p>
    <w:p w14:paraId="6AEE6A26" w14:textId="77777777" w:rsidR="00B80CE6" w:rsidRDefault="00B80CE6" w:rsidP="00B80CE6">
      <w:pPr>
        <w:pStyle w:val="BoxHeading"/>
        <w:spacing w:before="120" w:after="0"/>
      </w:pPr>
      <w:r>
        <w:t>How does the scheme compare to others?</w:t>
      </w:r>
    </w:p>
    <w:p w14:paraId="576B2386" w14:textId="47F42F0B" w:rsidR="00B80CE6" w:rsidRDefault="00B80CE6" w:rsidP="00B80CE6">
      <w:r>
        <w:t xml:space="preserve">The </w:t>
      </w:r>
      <w:r w:rsidR="00792F50">
        <w:t>Foreign Arrangements Scheme</w:t>
      </w:r>
      <w:r w:rsidR="00C23EBC">
        <w:t xml:space="preserve"> (the scheme)</w:t>
      </w:r>
      <w:r w:rsidR="00792F50">
        <w:t xml:space="preserve"> </w:t>
      </w:r>
      <w:r w:rsidRPr="000727E1">
        <w:t>ensures state and territory arrangements with foreign governments are consistent with</w:t>
      </w:r>
      <w:r>
        <w:t xml:space="preserve"> Australian</w:t>
      </w:r>
      <w:r w:rsidRPr="000727E1">
        <w:t xml:space="preserve"> foreign policy. </w:t>
      </w:r>
    </w:p>
    <w:p w14:paraId="443E9EED" w14:textId="77777777" w:rsidR="00B80CE6" w:rsidRDefault="00B80CE6" w:rsidP="00B80CE6">
      <w:r w:rsidRPr="000727E1">
        <w:t xml:space="preserve">There are </w:t>
      </w:r>
      <w:proofErr w:type="gramStart"/>
      <w:r w:rsidRPr="000727E1">
        <w:t>a number of</w:t>
      </w:r>
      <w:proofErr w:type="gramEnd"/>
      <w:r w:rsidRPr="000727E1">
        <w:t xml:space="preserve"> other schemes which </w:t>
      </w:r>
      <w:r w:rsidR="00D80E02">
        <w:t xml:space="preserve">are also </w:t>
      </w:r>
      <w:r w:rsidRPr="000727E1">
        <w:t xml:space="preserve">important </w:t>
      </w:r>
      <w:r w:rsidR="00D80E02">
        <w:t xml:space="preserve">to </w:t>
      </w:r>
      <w:r w:rsidRPr="000727E1">
        <w:t>ensur</w:t>
      </w:r>
      <w:r w:rsidR="00D80E02">
        <w:t>e</w:t>
      </w:r>
      <w:r w:rsidRPr="000727E1">
        <w:t xml:space="preserve"> Australia’s national interests are protected in dealings with </w:t>
      </w:r>
      <w:r w:rsidR="00655503">
        <w:t>foreign</w:t>
      </w:r>
      <w:r w:rsidRPr="000727E1">
        <w:t xml:space="preserve"> entities</w:t>
      </w:r>
      <w:r>
        <w:t>:</w:t>
      </w:r>
      <w:r w:rsidRPr="000727E1">
        <w:t xml:space="preserve">  </w:t>
      </w:r>
    </w:p>
    <w:p w14:paraId="3163BC5F" w14:textId="77777777" w:rsidR="00A315AC" w:rsidRPr="00F722E2" w:rsidRDefault="00A315AC" w:rsidP="00B80CE6">
      <w:pPr>
        <w:rPr>
          <w:rStyle w:val="ColourAccent1"/>
          <w:b/>
          <w:color w:val="auto"/>
          <w:sz w:val="24"/>
          <w:szCs w:val="24"/>
        </w:rPr>
      </w:pPr>
      <w:r w:rsidRPr="00F722E2">
        <w:rPr>
          <w:rStyle w:val="ColourAccent1"/>
          <w:b/>
          <w:color w:val="auto"/>
          <w:sz w:val="24"/>
          <w:szCs w:val="24"/>
        </w:rPr>
        <w:t>Foreign Investment Review Board</w:t>
      </w:r>
    </w:p>
    <w:p w14:paraId="5A3E4CEC" w14:textId="77777777" w:rsidR="00ED1FD7" w:rsidRDefault="00B80CE6" w:rsidP="0016664C">
      <w:pPr>
        <w:pStyle w:val="Bullet1"/>
        <w:numPr>
          <w:ilvl w:val="0"/>
          <w:numId w:val="14"/>
        </w:numPr>
        <w:ind w:left="284" w:hanging="284"/>
      </w:pPr>
      <w:r w:rsidRPr="00FE447B">
        <w:t xml:space="preserve">Under the </w:t>
      </w:r>
      <w:r w:rsidRPr="00655503">
        <w:rPr>
          <w:i/>
        </w:rPr>
        <w:t>Foreign Acquisitions and Takeovers Act 1975</w:t>
      </w:r>
      <w:r w:rsidRPr="00FE447B">
        <w:t xml:space="preserve"> (the F</w:t>
      </w:r>
      <w:r>
        <w:t xml:space="preserve">oreign </w:t>
      </w:r>
      <w:r w:rsidRPr="00FE447B">
        <w:t>I</w:t>
      </w:r>
      <w:r>
        <w:t xml:space="preserve">nvestment </w:t>
      </w:r>
      <w:r w:rsidRPr="00FE447B">
        <w:t>R</w:t>
      </w:r>
      <w:r>
        <w:t xml:space="preserve">eview </w:t>
      </w:r>
      <w:r w:rsidRPr="00FE447B">
        <w:t>B</w:t>
      </w:r>
      <w:r>
        <w:t>oard</w:t>
      </w:r>
      <w:r w:rsidRPr="00FE447B">
        <w:t xml:space="preserve"> regime), the Treasurer is responsible for reviewing foreign investments to ensure that they are not contrary to the national interest.</w:t>
      </w:r>
      <w:r w:rsidRPr="00FE447B" w:rsidDel="000945C4">
        <w:t xml:space="preserve"> </w:t>
      </w:r>
    </w:p>
    <w:p w14:paraId="2319CD5B" w14:textId="77777777" w:rsidR="00B80CE6" w:rsidRPr="00FE447B" w:rsidRDefault="00B80CE6" w:rsidP="0016664C">
      <w:pPr>
        <w:pStyle w:val="Bullet1"/>
        <w:numPr>
          <w:ilvl w:val="0"/>
          <w:numId w:val="14"/>
        </w:numPr>
        <w:ind w:left="284" w:hanging="284"/>
      </w:pPr>
      <w:r w:rsidRPr="00FE447B">
        <w:t>This scheme applies to foreign persons and foreign government investors and regulates significant and notifiable actions – such as the change of a controlling interest in an Australian business.</w:t>
      </w:r>
    </w:p>
    <w:p w14:paraId="2FE7EACF" w14:textId="77777777" w:rsidR="00ED1FD7" w:rsidRPr="00F722E2" w:rsidRDefault="00ED1FD7" w:rsidP="00ED1FD7">
      <w:pPr>
        <w:rPr>
          <w:rStyle w:val="ColourAccent1"/>
          <w:b/>
          <w:color w:val="auto"/>
          <w:sz w:val="24"/>
          <w:szCs w:val="24"/>
        </w:rPr>
      </w:pPr>
      <w:r w:rsidRPr="00F722E2">
        <w:rPr>
          <w:rStyle w:val="ColourAccent1"/>
          <w:b/>
          <w:color w:val="auto"/>
          <w:sz w:val="24"/>
          <w:szCs w:val="24"/>
        </w:rPr>
        <w:t>University Foreign Interference Taskforce</w:t>
      </w:r>
    </w:p>
    <w:p w14:paraId="6F27DD5D" w14:textId="77777777" w:rsidR="0016664C" w:rsidRDefault="00B80CE6" w:rsidP="0016664C">
      <w:pPr>
        <w:pStyle w:val="Bullet1"/>
        <w:numPr>
          <w:ilvl w:val="0"/>
          <w:numId w:val="14"/>
        </w:numPr>
        <w:ind w:left="284" w:hanging="284"/>
      </w:pPr>
      <w:r w:rsidRPr="00FE447B">
        <w:t xml:space="preserve">Through the University Foreign Interference Taskforce, government and universities have jointly developed Guidelines to counter foreign interference in the Australian university sector. </w:t>
      </w:r>
    </w:p>
    <w:p w14:paraId="676434A4" w14:textId="77777777" w:rsidR="00B80CE6" w:rsidRPr="0055046C" w:rsidRDefault="00B80CE6" w:rsidP="0016664C">
      <w:pPr>
        <w:pStyle w:val="Bullet1"/>
        <w:numPr>
          <w:ilvl w:val="0"/>
          <w:numId w:val="14"/>
        </w:numPr>
        <w:ind w:left="284" w:hanging="284"/>
      </w:pPr>
      <w:r w:rsidRPr="00FE447B">
        <w:t xml:space="preserve">The guidelines apply to Australian </w:t>
      </w:r>
      <w:r w:rsidR="00405FC4">
        <w:t>p</w:t>
      </w:r>
      <w:r w:rsidRPr="00FE447B">
        <w:t xml:space="preserve">ublic </w:t>
      </w:r>
      <w:r w:rsidR="00405FC4">
        <w:t>u</w:t>
      </w:r>
      <w:r w:rsidRPr="00FE447B">
        <w:t xml:space="preserve">niversities and the scope includes areas such as </w:t>
      </w:r>
      <w:r w:rsidR="00405FC4">
        <w:t>g</w:t>
      </w:r>
      <w:r w:rsidRPr="00FE447B">
        <w:t>overnance and risk, knowledge sharing and cyber security.</w:t>
      </w:r>
      <w:r w:rsidRPr="0016664C">
        <w:t xml:space="preserve"> </w:t>
      </w:r>
    </w:p>
    <w:p w14:paraId="0A445B29" w14:textId="77777777" w:rsidR="0055046C" w:rsidRPr="00F722E2" w:rsidRDefault="0055046C" w:rsidP="0055046C">
      <w:pPr>
        <w:rPr>
          <w:rStyle w:val="ColourAccent1"/>
          <w:b/>
          <w:color w:val="auto"/>
          <w:sz w:val="24"/>
          <w:szCs w:val="24"/>
        </w:rPr>
      </w:pPr>
      <w:r w:rsidRPr="00F722E2">
        <w:rPr>
          <w:rStyle w:val="ColourAccent1"/>
          <w:b/>
          <w:color w:val="auto"/>
          <w:sz w:val="24"/>
          <w:szCs w:val="24"/>
        </w:rPr>
        <w:t>Foreign Influence Transparency Scheme</w:t>
      </w:r>
    </w:p>
    <w:p w14:paraId="7B69F6BA" w14:textId="77777777" w:rsidR="0016664C" w:rsidRDefault="00B80CE6" w:rsidP="0016664C">
      <w:pPr>
        <w:pStyle w:val="Bullet1"/>
        <w:numPr>
          <w:ilvl w:val="0"/>
          <w:numId w:val="14"/>
        </w:numPr>
        <w:ind w:left="284" w:hanging="284"/>
      </w:pPr>
      <w:r w:rsidRPr="00FE447B">
        <w:t xml:space="preserve">The Foreign Influence Transparency Scheme is designed to provide the public with visibility of the nature, level and extent of foreign influence on Australia’s government and politics. </w:t>
      </w:r>
    </w:p>
    <w:p w14:paraId="2B2B3EAC" w14:textId="77777777" w:rsidR="00B80CE6" w:rsidRDefault="00B80CE6" w:rsidP="0016664C">
      <w:pPr>
        <w:pStyle w:val="Bullet1"/>
        <w:numPr>
          <w:ilvl w:val="0"/>
          <w:numId w:val="14"/>
        </w:numPr>
        <w:ind w:left="284" w:hanging="284"/>
      </w:pPr>
      <w:r w:rsidRPr="00FE447B">
        <w:t>It applies to Australian or foreign individuals and entities who undertake registrable activities on behalf of a foreign principal</w:t>
      </w:r>
      <w:r w:rsidR="00415325">
        <w:t>;</w:t>
      </w:r>
      <w:r w:rsidR="00405FC4">
        <w:t xml:space="preserve"> f</w:t>
      </w:r>
      <w:r w:rsidRPr="00FE447B">
        <w:t>or example</w:t>
      </w:r>
      <w:r w:rsidR="00405FC4">
        <w:t>,</w:t>
      </w:r>
      <w:r w:rsidRPr="00FE447B">
        <w:t xml:space="preserve"> parliamentary lobbying or general political lobbying. </w:t>
      </w:r>
    </w:p>
    <w:p w14:paraId="35102520" w14:textId="77777777" w:rsidR="00F5606B" w:rsidRPr="00F722E2" w:rsidRDefault="00F5606B" w:rsidP="00F5606B">
      <w:pPr>
        <w:rPr>
          <w:color w:val="auto"/>
          <w:sz w:val="24"/>
          <w:szCs w:val="24"/>
        </w:rPr>
      </w:pPr>
      <w:r w:rsidRPr="00F722E2">
        <w:rPr>
          <w:rStyle w:val="ColourAccent1"/>
          <w:b/>
          <w:color w:val="auto"/>
          <w:sz w:val="24"/>
          <w:szCs w:val="24"/>
        </w:rPr>
        <w:t>Defence Export Control</w:t>
      </w:r>
    </w:p>
    <w:p w14:paraId="476D11E5" w14:textId="77777777" w:rsidR="0016664C" w:rsidRDefault="00B80CE6" w:rsidP="0016664C">
      <w:pPr>
        <w:pStyle w:val="Bullet1"/>
        <w:numPr>
          <w:ilvl w:val="0"/>
          <w:numId w:val="14"/>
        </w:numPr>
        <w:ind w:left="284" w:hanging="284"/>
      </w:pPr>
      <w:r w:rsidRPr="00FE447B">
        <w:t xml:space="preserve">The Defence Export Control scheme enables the export of defence and strategic goods and technologies or related information where it is consistent with Australia's national interests and international obligations. </w:t>
      </w:r>
    </w:p>
    <w:p w14:paraId="3E544CCB" w14:textId="77777777" w:rsidR="00B80CE6" w:rsidRDefault="00B80CE6" w:rsidP="0016664C">
      <w:pPr>
        <w:pStyle w:val="Bullet1"/>
        <w:numPr>
          <w:ilvl w:val="0"/>
          <w:numId w:val="14"/>
        </w:numPr>
        <w:ind w:left="284" w:hanging="284"/>
      </w:pPr>
      <w:r w:rsidRPr="00FE447B">
        <w:t>It applies to anyone exporting regulated goods/technologies from Australia or transferring information from Australia</w:t>
      </w:r>
      <w:r w:rsidR="000E5C8C">
        <w:t>;</w:t>
      </w:r>
      <w:r w:rsidRPr="00FE447B">
        <w:t xml:space="preserve"> </w:t>
      </w:r>
      <w:r w:rsidR="000E5C8C">
        <w:t>f</w:t>
      </w:r>
      <w:r w:rsidRPr="00FE447B">
        <w:t>or example, commercial items and technologies that may be used or adapted for use in a military program.</w:t>
      </w:r>
    </w:p>
    <w:p w14:paraId="4312CFFA" w14:textId="77777777" w:rsidR="00F5606B" w:rsidRPr="00F722E2" w:rsidRDefault="00F5606B" w:rsidP="001711E2">
      <w:pPr>
        <w:keepNext/>
        <w:rPr>
          <w:color w:val="auto"/>
          <w:sz w:val="24"/>
          <w:szCs w:val="24"/>
        </w:rPr>
      </w:pPr>
      <w:bookmarkStart w:id="1" w:name="_GoBack"/>
      <w:r w:rsidRPr="00F722E2">
        <w:rPr>
          <w:rStyle w:val="ColourAccent1"/>
          <w:b/>
          <w:color w:val="auto"/>
          <w:sz w:val="24"/>
          <w:szCs w:val="24"/>
        </w:rPr>
        <w:lastRenderedPageBreak/>
        <w:t>Sanctions</w:t>
      </w:r>
    </w:p>
    <w:bookmarkEnd w:id="1"/>
    <w:p w14:paraId="43C1878E" w14:textId="77777777" w:rsidR="00705AC9" w:rsidRDefault="00B80CE6" w:rsidP="0016664C">
      <w:pPr>
        <w:pStyle w:val="Bullet1"/>
        <w:numPr>
          <w:ilvl w:val="0"/>
          <w:numId w:val="14"/>
        </w:numPr>
        <w:ind w:left="284" w:hanging="284"/>
      </w:pPr>
      <w:r w:rsidRPr="00FE447B">
        <w:t>The sanctions regime aims to</w:t>
      </w:r>
      <w:r w:rsidRPr="0016664C">
        <w:t xml:space="preserve"> </w:t>
      </w:r>
      <w:r w:rsidRPr="00FE447B">
        <w:t xml:space="preserve">bring an end to situations of international concern by influencing those responsible. </w:t>
      </w:r>
    </w:p>
    <w:p w14:paraId="727A3557" w14:textId="77777777" w:rsidR="00B80CE6" w:rsidRPr="00FE447B" w:rsidRDefault="00B80CE6" w:rsidP="0016664C">
      <w:pPr>
        <w:pStyle w:val="Bullet1"/>
        <w:numPr>
          <w:ilvl w:val="0"/>
          <w:numId w:val="14"/>
        </w:numPr>
        <w:ind w:left="284" w:hanging="284"/>
      </w:pPr>
      <w:r w:rsidRPr="00FE447B">
        <w:t xml:space="preserve">This applies only to specific regimes (usually country regimes) designated by the United Nations Security Council or the Australian Government. Common sanctions include travel bans and targeted financial sanctions such as asset freezes. </w:t>
      </w:r>
    </w:p>
    <w:p w14:paraId="555D33E1" w14:textId="6C667108" w:rsidR="00B80CE6" w:rsidRDefault="00B80CE6" w:rsidP="00B80CE6">
      <w:r>
        <w:t>While there may</w:t>
      </w:r>
      <w:r w:rsidR="000E5C8C">
        <w:t>,</w:t>
      </w:r>
      <w:r>
        <w:t xml:space="preserve"> at times</w:t>
      </w:r>
      <w:r w:rsidR="000E5C8C">
        <w:t>,</w:t>
      </w:r>
      <w:r>
        <w:t xml:space="preserve"> be some </w:t>
      </w:r>
      <w:r w:rsidR="000E5C8C">
        <w:t>intersection</w:t>
      </w:r>
      <w:r>
        <w:t xml:space="preserve"> between </w:t>
      </w:r>
      <w:r w:rsidRPr="000727E1">
        <w:t>these schemes</w:t>
      </w:r>
      <w:r>
        <w:t>, they all</w:t>
      </w:r>
      <w:r w:rsidRPr="000727E1">
        <w:t xml:space="preserve"> serve a different purpose and have a different policy intent to the </w:t>
      </w:r>
      <w:r w:rsidR="00792F50">
        <w:t>Foreign Arrangements Scheme</w:t>
      </w:r>
      <w:r w:rsidRPr="000727E1">
        <w:t>.</w:t>
      </w:r>
      <w:r w:rsidR="000E5C8C">
        <w:t xml:space="preserve"> </w:t>
      </w:r>
    </w:p>
    <w:p w14:paraId="739C2084" w14:textId="310B401C" w:rsidR="000E5C8C" w:rsidRDefault="000E5C8C" w:rsidP="00B80CE6">
      <w:r>
        <w:t xml:space="preserve">DFAT will work with other responsible Commonwealth Government departments to ensure that </w:t>
      </w:r>
      <w:r w:rsidR="00296826">
        <w:t xml:space="preserve">any replication between the </w:t>
      </w:r>
      <w:r w:rsidR="00792F50">
        <w:t xml:space="preserve">Foreign Arrangements Scheme </w:t>
      </w:r>
      <w:r w:rsidR="00296826">
        <w:t xml:space="preserve">and other schemes is minimised.  </w:t>
      </w:r>
    </w:p>
    <w:bookmarkEnd w:id="0"/>
    <w:p w14:paraId="479869BB" w14:textId="77777777" w:rsidR="003470D8" w:rsidRPr="0080448B" w:rsidRDefault="003470D8" w:rsidP="003470D8">
      <w:pPr>
        <w:pStyle w:val="BoxHeading"/>
        <w:spacing w:before="120" w:after="0"/>
        <w:rPr>
          <w:sz w:val="28"/>
          <w:szCs w:val="28"/>
        </w:rPr>
      </w:pPr>
      <w:r>
        <w:rPr>
          <w:sz w:val="28"/>
          <w:szCs w:val="28"/>
        </w:rPr>
        <w:t xml:space="preserve">Where can I get further information? </w:t>
      </w:r>
    </w:p>
    <w:p w14:paraId="18282762" w14:textId="34E52F73" w:rsidR="007F16AD" w:rsidRDefault="003470D8" w:rsidP="003470D8">
      <w:r>
        <w:t xml:space="preserve">Contact the Department of Foreign Affairs and Trade at </w:t>
      </w:r>
      <w:r w:rsidRPr="00194D0A">
        <w:rPr>
          <w:rStyle w:val="Hyperlink"/>
          <w:rFonts w:cstheme="minorBidi"/>
        </w:rPr>
        <w:t>foreignarrangements</w:t>
      </w:r>
      <w:hyperlink r:id="rId8" w:history="1">
        <w:r w:rsidRPr="004D6202">
          <w:rPr>
            <w:rStyle w:val="Hyperlink"/>
            <w:rFonts w:cstheme="minorBidi"/>
          </w:rPr>
          <w:t>@dfat.gov.au</w:t>
        </w:r>
      </w:hyperlink>
      <w:r>
        <w:t>.</w:t>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r w:rsidR="007F16AD">
        <w:br/>
      </w:r>
    </w:p>
    <w:sectPr w:rsidR="007F16AD" w:rsidSect="001711E2">
      <w:headerReference w:type="default" r:id="rId9"/>
      <w:headerReference w:type="first" r:id="rId10"/>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4038" w14:textId="77777777" w:rsidR="00E334BD" w:rsidRDefault="00E334BD" w:rsidP="00D37B04">
      <w:r>
        <w:separator/>
      </w:r>
    </w:p>
  </w:endnote>
  <w:endnote w:type="continuationSeparator" w:id="0">
    <w:p w14:paraId="6EAD89F8" w14:textId="77777777" w:rsidR="00E334BD" w:rsidRDefault="00E334BD" w:rsidP="00D37B04">
      <w:r>
        <w:continuationSeparator/>
      </w:r>
    </w:p>
  </w:endnote>
  <w:endnote w:id="1">
    <w:p w14:paraId="3FE8EBB5" w14:textId="4AE153B8" w:rsidR="007619E0" w:rsidRPr="00194D0A" w:rsidRDefault="007619E0" w:rsidP="007619E0">
      <w:pPr>
        <w:pStyle w:val="EndnoteText"/>
        <w:rPr>
          <w:lang w:val="en-AU"/>
        </w:rPr>
      </w:pPr>
      <w:r>
        <w:rPr>
          <w:rStyle w:val="EndnoteReference"/>
        </w:rPr>
        <w:endnoteRef/>
      </w:r>
      <w:r>
        <w:t xml:space="preserve"> </w:t>
      </w:r>
      <w:r w:rsidRPr="0091354A">
        <w:rPr>
          <w:sz w:val="18"/>
          <w:szCs w:val="18"/>
        </w:rPr>
        <w:t xml:space="preserve">* </w:t>
      </w:r>
      <w:r w:rsidRPr="00922950">
        <w:rPr>
          <w:sz w:val="17"/>
          <w:szCs w:val="17"/>
        </w:rPr>
        <w:t xml:space="preserve">This FACT SHEET sets out some of the requirements of the Australia’s Foreign Relations (State and Territory Arrangements) </w:t>
      </w:r>
      <w:r w:rsidR="00792F50">
        <w:rPr>
          <w:sz w:val="17"/>
          <w:szCs w:val="17"/>
        </w:rPr>
        <w:t>Act</w:t>
      </w:r>
      <w:r w:rsidR="00792F50" w:rsidRPr="00922950">
        <w:rPr>
          <w:sz w:val="17"/>
          <w:szCs w:val="17"/>
        </w:rPr>
        <w:t xml:space="preserve"> </w:t>
      </w:r>
      <w:r w:rsidRPr="00922950">
        <w:rPr>
          <w:sz w:val="17"/>
          <w:szCs w:val="17"/>
        </w:rPr>
        <w:t xml:space="preserve">2020. It is not intended to be comprehensive and should not be relied on as a definitive interpretation of the </w:t>
      </w:r>
      <w:r w:rsidR="00792F50">
        <w:rPr>
          <w:sz w:val="17"/>
          <w:szCs w:val="17"/>
        </w:rPr>
        <w:t>Act</w:t>
      </w:r>
      <w:r w:rsidRPr="00922950">
        <w:rPr>
          <w:sz w:val="17"/>
          <w:szCs w:val="17"/>
        </w:rPr>
        <w:t xml:space="preserve">. It is also not intended as legal advice. Readers should rely on the substantive provisions of </w:t>
      </w:r>
      <w:r w:rsidR="00792F50">
        <w:rPr>
          <w:sz w:val="17"/>
          <w:szCs w:val="17"/>
        </w:rPr>
        <w:t xml:space="preserve">the </w:t>
      </w:r>
      <w:r w:rsidRPr="00922950">
        <w:rPr>
          <w:sz w:val="17"/>
          <w:szCs w:val="17"/>
        </w:rPr>
        <w:t xml:space="preserve">Act </w:t>
      </w:r>
      <w:r w:rsidR="00792F50">
        <w:rPr>
          <w:sz w:val="17"/>
          <w:szCs w:val="17"/>
        </w:rPr>
        <w:t xml:space="preserve">as </w:t>
      </w:r>
      <w:r w:rsidRPr="00922950">
        <w:rPr>
          <w:sz w:val="17"/>
          <w:szCs w:val="17"/>
        </w:rPr>
        <w:t>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18A4" w14:textId="77777777" w:rsidR="00E334BD" w:rsidRPr="008C5A0E" w:rsidRDefault="00E334BD" w:rsidP="00D37B04">
      <w:pPr>
        <w:pStyle w:val="Footer"/>
      </w:pPr>
    </w:p>
  </w:footnote>
  <w:footnote w:type="continuationSeparator" w:id="0">
    <w:p w14:paraId="75853F11" w14:textId="77777777" w:rsidR="00E334BD" w:rsidRDefault="00E334B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0672"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3728B132" wp14:editId="5A080C9B">
          <wp:simplePos x="0" y="0"/>
          <wp:positionH relativeFrom="page">
            <wp:posOffset>12700</wp:posOffset>
          </wp:positionH>
          <wp:positionV relativeFrom="page">
            <wp:posOffset>0</wp:posOffset>
          </wp:positionV>
          <wp:extent cx="7559675" cy="10692765"/>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1255" w14:textId="77777777" w:rsidR="002D5B25" w:rsidRDefault="002D5B25" w:rsidP="002D5B25">
    <w:pPr>
      <w:pStyle w:val="Header"/>
    </w:pPr>
  </w:p>
  <w:p w14:paraId="24A209B6" w14:textId="77777777" w:rsidR="00F722E2" w:rsidRDefault="002D5B25" w:rsidP="00943730">
    <w:pPr>
      <w:pStyle w:val="Header"/>
    </w:pPr>
    <w:r w:rsidRPr="00943730">
      <w:fldChar w:fldCharType="begin"/>
    </w:r>
    <w:r w:rsidRPr="00943730">
      <w:instrText xml:space="preserve"> DATE  \@ "MMMM yyyy"  \* MERGEFORMAT </w:instrText>
    </w:r>
    <w:r w:rsidRPr="00943730">
      <w:fldChar w:fldCharType="separate"/>
    </w:r>
    <w:r w:rsidR="00F722E2">
      <w:rPr>
        <w:noProof/>
      </w:rPr>
      <w:t>December 2020</w:t>
    </w:r>
    <w:r w:rsidRPr="00943730">
      <w:fldChar w:fldCharType="end"/>
    </w:r>
  </w:p>
  <w:p w14:paraId="04268BC1" w14:textId="77777777" w:rsidR="00F722E2" w:rsidRDefault="00F722E2" w:rsidP="00943730">
    <w:pPr>
      <w:pStyle w:val="Header"/>
    </w:pPr>
  </w:p>
  <w:p w14:paraId="05CE15A2" w14:textId="775B49AE" w:rsidR="00D37B04" w:rsidRPr="00943730" w:rsidRDefault="002D5B25" w:rsidP="00943730">
    <w:pPr>
      <w:pStyle w:val="Header"/>
    </w:pPr>
    <w:r w:rsidRPr="00943730">
      <w:rPr>
        <w:noProof/>
        <w:lang w:val="en-AU" w:eastAsia="en-AU"/>
      </w:rPr>
      <w:drawing>
        <wp:inline distT="0" distB="0" distL="0" distR="0" wp14:anchorId="16075829" wp14:editId="31F3BC68">
          <wp:extent cx="3166745" cy="554355"/>
          <wp:effectExtent l="0" t="0" r="0" b="0"/>
          <wp:docPr id="28" name="Picture 28"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207FB2FE" wp14:editId="01D870E7">
          <wp:simplePos x="0" y="0"/>
          <wp:positionH relativeFrom="page">
            <wp:posOffset>12700</wp:posOffset>
          </wp:positionH>
          <wp:positionV relativeFrom="page">
            <wp:posOffset>0</wp:posOffset>
          </wp:positionV>
          <wp:extent cx="7559040" cy="10692765"/>
          <wp:effectExtent l="0" t="0" r="381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453D2F"/>
    <w:multiLevelType w:val="multilevel"/>
    <w:tmpl w:val="51963F56"/>
    <w:numStyleLink w:val="BulletsList"/>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56E43F2"/>
    <w:multiLevelType w:val="hybridMultilevel"/>
    <w:tmpl w:val="D7C6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7"/>
  </w:num>
  <w:num w:numId="6">
    <w:abstractNumId w:val="5"/>
  </w:num>
  <w:num w:numId="7">
    <w:abstractNumId w:val="0"/>
  </w:num>
  <w:num w:numId="8">
    <w:abstractNumId w:val="2"/>
  </w:num>
  <w:num w:numId="9">
    <w:abstractNumId w:val="11"/>
  </w:num>
  <w:num w:numId="10">
    <w:abstractNumId w:val="4"/>
  </w:num>
  <w:num w:numId="11">
    <w:abstractNumId w:val="4"/>
  </w:num>
  <w:num w:numId="12">
    <w:abstractNumId w:val="4"/>
  </w:num>
  <w:num w:numId="13">
    <w:abstractNumId w:val="4"/>
  </w:num>
  <w:num w:numId="14">
    <w:abstractNumId w:val="3"/>
  </w:num>
  <w:num w:numId="15">
    <w:abstractNumId w:val="8"/>
  </w:num>
  <w:num w:numId="16">
    <w:abstractNumId w:val="1"/>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782F"/>
    <w:rsid w:val="00031486"/>
    <w:rsid w:val="00035BBF"/>
    <w:rsid w:val="00044868"/>
    <w:rsid w:val="00050806"/>
    <w:rsid w:val="000546D9"/>
    <w:rsid w:val="00054E4D"/>
    <w:rsid w:val="00060073"/>
    <w:rsid w:val="000616C6"/>
    <w:rsid w:val="00076F1B"/>
    <w:rsid w:val="000854FD"/>
    <w:rsid w:val="00086936"/>
    <w:rsid w:val="00094D42"/>
    <w:rsid w:val="00097A1A"/>
    <w:rsid w:val="000A407E"/>
    <w:rsid w:val="000B37F5"/>
    <w:rsid w:val="000B4865"/>
    <w:rsid w:val="000C1D20"/>
    <w:rsid w:val="000C3208"/>
    <w:rsid w:val="000D66D6"/>
    <w:rsid w:val="000E52B8"/>
    <w:rsid w:val="000E5C8C"/>
    <w:rsid w:val="000E6399"/>
    <w:rsid w:val="000F03D8"/>
    <w:rsid w:val="000F741A"/>
    <w:rsid w:val="00102A6A"/>
    <w:rsid w:val="00103CF5"/>
    <w:rsid w:val="00106715"/>
    <w:rsid w:val="00113288"/>
    <w:rsid w:val="00115AEF"/>
    <w:rsid w:val="00116AD7"/>
    <w:rsid w:val="001214BE"/>
    <w:rsid w:val="0013101C"/>
    <w:rsid w:val="001461D6"/>
    <w:rsid w:val="001541EA"/>
    <w:rsid w:val="001562A0"/>
    <w:rsid w:val="0016664C"/>
    <w:rsid w:val="001711E2"/>
    <w:rsid w:val="001952E7"/>
    <w:rsid w:val="001A64BF"/>
    <w:rsid w:val="001D0CFD"/>
    <w:rsid w:val="001D2380"/>
    <w:rsid w:val="001D663E"/>
    <w:rsid w:val="001E1DC0"/>
    <w:rsid w:val="001E548C"/>
    <w:rsid w:val="001E6D20"/>
    <w:rsid w:val="001F29F2"/>
    <w:rsid w:val="001F74E4"/>
    <w:rsid w:val="00203533"/>
    <w:rsid w:val="00204EC4"/>
    <w:rsid w:val="00207FF9"/>
    <w:rsid w:val="00244229"/>
    <w:rsid w:val="00265C21"/>
    <w:rsid w:val="00281BF2"/>
    <w:rsid w:val="0028602A"/>
    <w:rsid w:val="00295342"/>
    <w:rsid w:val="00296826"/>
    <w:rsid w:val="0029768D"/>
    <w:rsid w:val="002A27E6"/>
    <w:rsid w:val="002A66B4"/>
    <w:rsid w:val="002B152C"/>
    <w:rsid w:val="002B5E10"/>
    <w:rsid w:val="002B7E31"/>
    <w:rsid w:val="002C022B"/>
    <w:rsid w:val="002C793D"/>
    <w:rsid w:val="002D5B25"/>
    <w:rsid w:val="002F4F2B"/>
    <w:rsid w:val="003002C0"/>
    <w:rsid w:val="00301144"/>
    <w:rsid w:val="003031C6"/>
    <w:rsid w:val="00304984"/>
    <w:rsid w:val="00306D60"/>
    <w:rsid w:val="00312BF8"/>
    <w:rsid w:val="003148B7"/>
    <w:rsid w:val="003158C3"/>
    <w:rsid w:val="00321953"/>
    <w:rsid w:val="00324FA2"/>
    <w:rsid w:val="003274CD"/>
    <w:rsid w:val="00333501"/>
    <w:rsid w:val="003457C4"/>
    <w:rsid w:val="0034581B"/>
    <w:rsid w:val="003470D8"/>
    <w:rsid w:val="0035119D"/>
    <w:rsid w:val="00374741"/>
    <w:rsid w:val="0039344A"/>
    <w:rsid w:val="003B4F12"/>
    <w:rsid w:val="003C6C4F"/>
    <w:rsid w:val="003D2290"/>
    <w:rsid w:val="003E55A3"/>
    <w:rsid w:val="003F2041"/>
    <w:rsid w:val="00402ACC"/>
    <w:rsid w:val="00403943"/>
    <w:rsid w:val="00405FC4"/>
    <w:rsid w:val="004120EC"/>
    <w:rsid w:val="00415325"/>
    <w:rsid w:val="00423F31"/>
    <w:rsid w:val="00426AF2"/>
    <w:rsid w:val="00431899"/>
    <w:rsid w:val="004702CB"/>
    <w:rsid w:val="00475D66"/>
    <w:rsid w:val="00482AE8"/>
    <w:rsid w:val="00486804"/>
    <w:rsid w:val="004942F6"/>
    <w:rsid w:val="004B3775"/>
    <w:rsid w:val="004D0BA0"/>
    <w:rsid w:val="004D7A69"/>
    <w:rsid w:val="004E058F"/>
    <w:rsid w:val="004E3B87"/>
    <w:rsid w:val="004F01EC"/>
    <w:rsid w:val="004F6152"/>
    <w:rsid w:val="00501398"/>
    <w:rsid w:val="00510921"/>
    <w:rsid w:val="00510AD3"/>
    <w:rsid w:val="00513348"/>
    <w:rsid w:val="00513AD8"/>
    <w:rsid w:val="005204D2"/>
    <w:rsid w:val="00522396"/>
    <w:rsid w:val="00524117"/>
    <w:rsid w:val="005250C5"/>
    <w:rsid w:val="00533B5D"/>
    <w:rsid w:val="00543D5C"/>
    <w:rsid w:val="0055046C"/>
    <w:rsid w:val="00567266"/>
    <w:rsid w:val="00587B3C"/>
    <w:rsid w:val="005A20F6"/>
    <w:rsid w:val="005B6905"/>
    <w:rsid w:val="005D2646"/>
    <w:rsid w:val="005D279B"/>
    <w:rsid w:val="005D2C61"/>
    <w:rsid w:val="005D3655"/>
    <w:rsid w:val="005E4830"/>
    <w:rsid w:val="00622B86"/>
    <w:rsid w:val="00623BA1"/>
    <w:rsid w:val="00627FD4"/>
    <w:rsid w:val="006346BC"/>
    <w:rsid w:val="006454F0"/>
    <w:rsid w:val="00655503"/>
    <w:rsid w:val="0066652A"/>
    <w:rsid w:val="006719C3"/>
    <w:rsid w:val="0067797F"/>
    <w:rsid w:val="00680522"/>
    <w:rsid w:val="00682167"/>
    <w:rsid w:val="00692D96"/>
    <w:rsid w:val="006C42AF"/>
    <w:rsid w:val="006D6E15"/>
    <w:rsid w:val="006E2E69"/>
    <w:rsid w:val="006F04F1"/>
    <w:rsid w:val="006F5EEF"/>
    <w:rsid w:val="0070384E"/>
    <w:rsid w:val="00705AC9"/>
    <w:rsid w:val="00711D8E"/>
    <w:rsid w:val="00712672"/>
    <w:rsid w:val="00734E3F"/>
    <w:rsid w:val="00736985"/>
    <w:rsid w:val="00745DF5"/>
    <w:rsid w:val="0074692E"/>
    <w:rsid w:val="00750C83"/>
    <w:rsid w:val="007619E0"/>
    <w:rsid w:val="0076250F"/>
    <w:rsid w:val="00766301"/>
    <w:rsid w:val="00780FA5"/>
    <w:rsid w:val="0078566B"/>
    <w:rsid w:val="00792F50"/>
    <w:rsid w:val="007B6200"/>
    <w:rsid w:val="007C70DD"/>
    <w:rsid w:val="007D51B3"/>
    <w:rsid w:val="007E556D"/>
    <w:rsid w:val="007E7D68"/>
    <w:rsid w:val="007F16AD"/>
    <w:rsid w:val="007F3395"/>
    <w:rsid w:val="00801B9F"/>
    <w:rsid w:val="0080204D"/>
    <w:rsid w:val="0080448B"/>
    <w:rsid w:val="008270F0"/>
    <w:rsid w:val="00837427"/>
    <w:rsid w:val="0084191E"/>
    <w:rsid w:val="008475F0"/>
    <w:rsid w:val="00850910"/>
    <w:rsid w:val="008557A7"/>
    <w:rsid w:val="00870928"/>
    <w:rsid w:val="00872AA6"/>
    <w:rsid w:val="0089405C"/>
    <w:rsid w:val="00897FA2"/>
    <w:rsid w:val="008A39E7"/>
    <w:rsid w:val="008A5AFE"/>
    <w:rsid w:val="008C30D4"/>
    <w:rsid w:val="008C5A0E"/>
    <w:rsid w:val="008D5CDB"/>
    <w:rsid w:val="008D6DCD"/>
    <w:rsid w:val="008F24E7"/>
    <w:rsid w:val="009068E3"/>
    <w:rsid w:val="00916E1F"/>
    <w:rsid w:val="00920046"/>
    <w:rsid w:val="00922950"/>
    <w:rsid w:val="009330B3"/>
    <w:rsid w:val="0094139D"/>
    <w:rsid w:val="00943730"/>
    <w:rsid w:val="00965398"/>
    <w:rsid w:val="009704CA"/>
    <w:rsid w:val="00975CA5"/>
    <w:rsid w:val="009838B0"/>
    <w:rsid w:val="00986590"/>
    <w:rsid w:val="009869BF"/>
    <w:rsid w:val="00992C76"/>
    <w:rsid w:val="00995889"/>
    <w:rsid w:val="009969D6"/>
    <w:rsid w:val="009A47F6"/>
    <w:rsid w:val="009B4D3B"/>
    <w:rsid w:val="009D5259"/>
    <w:rsid w:val="009D7407"/>
    <w:rsid w:val="009E0866"/>
    <w:rsid w:val="009E273C"/>
    <w:rsid w:val="009F1350"/>
    <w:rsid w:val="009F6423"/>
    <w:rsid w:val="00A22962"/>
    <w:rsid w:val="00A238F1"/>
    <w:rsid w:val="00A24A62"/>
    <w:rsid w:val="00A24CBE"/>
    <w:rsid w:val="00A315AC"/>
    <w:rsid w:val="00A31C9F"/>
    <w:rsid w:val="00A4144F"/>
    <w:rsid w:val="00A51F06"/>
    <w:rsid w:val="00A61B4D"/>
    <w:rsid w:val="00A62777"/>
    <w:rsid w:val="00A62EEB"/>
    <w:rsid w:val="00A63400"/>
    <w:rsid w:val="00A80F95"/>
    <w:rsid w:val="00A82C60"/>
    <w:rsid w:val="00A97BF1"/>
    <w:rsid w:val="00AA298A"/>
    <w:rsid w:val="00AA2CB9"/>
    <w:rsid w:val="00AB0D54"/>
    <w:rsid w:val="00AC164A"/>
    <w:rsid w:val="00AD646B"/>
    <w:rsid w:val="00AE448A"/>
    <w:rsid w:val="00AE4E9A"/>
    <w:rsid w:val="00AF2050"/>
    <w:rsid w:val="00B02B2A"/>
    <w:rsid w:val="00B03CA8"/>
    <w:rsid w:val="00B33C0A"/>
    <w:rsid w:val="00B43043"/>
    <w:rsid w:val="00B55E19"/>
    <w:rsid w:val="00B635ED"/>
    <w:rsid w:val="00B67F43"/>
    <w:rsid w:val="00B80CE6"/>
    <w:rsid w:val="00B857E1"/>
    <w:rsid w:val="00B94758"/>
    <w:rsid w:val="00BA282A"/>
    <w:rsid w:val="00BA4B6D"/>
    <w:rsid w:val="00BB26C5"/>
    <w:rsid w:val="00BB7958"/>
    <w:rsid w:val="00BC3055"/>
    <w:rsid w:val="00BF4DE6"/>
    <w:rsid w:val="00C06B13"/>
    <w:rsid w:val="00C23EBC"/>
    <w:rsid w:val="00C27D25"/>
    <w:rsid w:val="00C35791"/>
    <w:rsid w:val="00C37087"/>
    <w:rsid w:val="00C42541"/>
    <w:rsid w:val="00C42CDE"/>
    <w:rsid w:val="00C42EB7"/>
    <w:rsid w:val="00C5182A"/>
    <w:rsid w:val="00C60108"/>
    <w:rsid w:val="00C63EE9"/>
    <w:rsid w:val="00C9161E"/>
    <w:rsid w:val="00C92B56"/>
    <w:rsid w:val="00CA16F3"/>
    <w:rsid w:val="00CA37B1"/>
    <w:rsid w:val="00CB11B2"/>
    <w:rsid w:val="00CB1959"/>
    <w:rsid w:val="00CC741B"/>
    <w:rsid w:val="00CC75F5"/>
    <w:rsid w:val="00CD0E4B"/>
    <w:rsid w:val="00CD591A"/>
    <w:rsid w:val="00CE1941"/>
    <w:rsid w:val="00CE3E15"/>
    <w:rsid w:val="00CE43EF"/>
    <w:rsid w:val="00CE4460"/>
    <w:rsid w:val="00CE4C89"/>
    <w:rsid w:val="00CE6D3F"/>
    <w:rsid w:val="00CF07BA"/>
    <w:rsid w:val="00D0296C"/>
    <w:rsid w:val="00D12214"/>
    <w:rsid w:val="00D12B79"/>
    <w:rsid w:val="00D201C4"/>
    <w:rsid w:val="00D32D6F"/>
    <w:rsid w:val="00D37B04"/>
    <w:rsid w:val="00D540C6"/>
    <w:rsid w:val="00D64BD1"/>
    <w:rsid w:val="00D71A2E"/>
    <w:rsid w:val="00D77F19"/>
    <w:rsid w:val="00D80E02"/>
    <w:rsid w:val="00D92254"/>
    <w:rsid w:val="00D97473"/>
    <w:rsid w:val="00DE084C"/>
    <w:rsid w:val="00E00ED1"/>
    <w:rsid w:val="00E14F51"/>
    <w:rsid w:val="00E216F2"/>
    <w:rsid w:val="00E244F2"/>
    <w:rsid w:val="00E334BD"/>
    <w:rsid w:val="00E351CE"/>
    <w:rsid w:val="00E357B7"/>
    <w:rsid w:val="00E53800"/>
    <w:rsid w:val="00E6081F"/>
    <w:rsid w:val="00E70BA4"/>
    <w:rsid w:val="00E8296D"/>
    <w:rsid w:val="00E8457B"/>
    <w:rsid w:val="00E93E1A"/>
    <w:rsid w:val="00E97DA4"/>
    <w:rsid w:val="00EA04B2"/>
    <w:rsid w:val="00EA20F3"/>
    <w:rsid w:val="00EB191A"/>
    <w:rsid w:val="00EC457C"/>
    <w:rsid w:val="00ED1FD7"/>
    <w:rsid w:val="00ED2831"/>
    <w:rsid w:val="00ED43D1"/>
    <w:rsid w:val="00ED521C"/>
    <w:rsid w:val="00EE4EE1"/>
    <w:rsid w:val="00EF1929"/>
    <w:rsid w:val="00EF4574"/>
    <w:rsid w:val="00F1090B"/>
    <w:rsid w:val="00F20076"/>
    <w:rsid w:val="00F25A93"/>
    <w:rsid w:val="00F2684E"/>
    <w:rsid w:val="00F50B3F"/>
    <w:rsid w:val="00F50BD7"/>
    <w:rsid w:val="00F5404C"/>
    <w:rsid w:val="00F5606B"/>
    <w:rsid w:val="00F67C6A"/>
    <w:rsid w:val="00F722E2"/>
    <w:rsid w:val="00F729EF"/>
    <w:rsid w:val="00F77CAE"/>
    <w:rsid w:val="00F82271"/>
    <w:rsid w:val="00F83428"/>
    <w:rsid w:val="00F917FA"/>
    <w:rsid w:val="00F96BB9"/>
    <w:rsid w:val="00FD507A"/>
    <w:rsid w:val="00FE6D51"/>
    <w:rsid w:val="00FE6F2A"/>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dfa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A196-D448-4547-BF98-299C175B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2020-12-23T00:48:00Z</dcterms:created>
  <dcterms:modified xsi:type="dcterms:W3CDTF">2020-12-23T00:48:00Z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a3075240-9e14-4f25-b27b-c01ed81e4250</vt:lpwstr>
  </property>
  <property fmtid="{D5CDD505-2E9C-101B-9397-08002B2CF9AE}" pid="3" name="SEC">
    <vt:lpwstr>OFFICIAL</vt:lpwstr>
  </property>
</Properties>
</file>